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8D" w:rsidRDefault="00CF5D8D" w:rsidP="00143D99">
      <w:pPr>
        <w:spacing w:after="120" w:line="240" w:lineRule="auto"/>
        <w:rPr>
          <w:rFonts w:cstheme="majorHAnsi"/>
          <w:b/>
          <w:color w:val="7D110C"/>
        </w:rPr>
      </w:pPr>
      <w:bookmarkStart w:id="0" w:name="_GoBack"/>
      <w:bookmarkEnd w:id="0"/>
      <w:r w:rsidRPr="00143D99">
        <w:rPr>
          <w:rFonts w:asciiTheme="majorHAnsi" w:hAnsiTheme="majorHAnsi" w:cstheme="majorHAnsi"/>
          <w:b/>
          <w:color w:val="7D110C"/>
          <w:sz w:val="32"/>
          <w:szCs w:val="32"/>
        </w:rPr>
        <w:t>Financial Ratios</w:t>
      </w:r>
    </w:p>
    <w:p w:rsidR="00CF5D8D" w:rsidRPr="00143D99" w:rsidRDefault="00CF5D8D" w:rsidP="00143D99">
      <w:pPr>
        <w:spacing w:line="240" w:lineRule="auto"/>
        <w:rPr>
          <w:rFonts w:cstheme="majorHAnsi"/>
        </w:rPr>
      </w:pPr>
      <w:r w:rsidRPr="00143D99">
        <w:rPr>
          <w:rFonts w:asciiTheme="majorHAnsi" w:hAnsiTheme="majorHAnsi" w:cstheme="majorHAnsi"/>
        </w:rPr>
        <w:t>Last update: 3/24/21</w:t>
      </w:r>
    </w:p>
    <w:p w:rsidR="00CF5D8D" w:rsidRPr="00143D99" w:rsidRDefault="00143D99" w:rsidP="00143D99"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0.5pt" o:hrstd="t" o:hrnoshade="t" o:hr="t" fillcolor="#424545" stroked="f"/>
        </w:pict>
      </w:r>
    </w:p>
    <w:p w:rsidR="009B3A7F" w:rsidRPr="00143D99" w:rsidRDefault="009B3A7F" w:rsidP="00143D99">
      <w:pPr>
        <w:pStyle w:val="Heading1"/>
        <w:tabs>
          <w:tab w:val="left" w:pos="1905"/>
        </w:tabs>
        <w:spacing w:before="0" w:after="60" w:line="240" w:lineRule="auto"/>
        <w:rPr>
          <w:b/>
          <w:color w:val="7D110C"/>
          <w:sz w:val="28"/>
          <w:szCs w:val="28"/>
        </w:rPr>
      </w:pPr>
      <w:r w:rsidRPr="00143D99">
        <w:rPr>
          <w:b/>
          <w:color w:val="7D110C"/>
          <w:sz w:val="28"/>
          <w:szCs w:val="28"/>
        </w:rPr>
        <w:t>Preface</w:t>
      </w:r>
    </w:p>
    <w:p w:rsidR="009B3A7F" w:rsidRDefault="009B3A7F" w:rsidP="00143D99">
      <w:pPr>
        <w:spacing w:after="120" w:line="240" w:lineRule="auto"/>
      </w:pPr>
      <w:r>
        <w:t>Financial ratios are referenced in the Income Statement and Cash Flow Statement standards. Ratios provided below are some of the more common ratios and are not a comprehensive list. This document will be updated, as needed, so refer back periodically for future additional ratios to be included.</w:t>
      </w:r>
    </w:p>
    <w:p w:rsidR="00EC4254" w:rsidRPr="00143D99" w:rsidRDefault="00D57DA9" w:rsidP="00143D99">
      <w:pPr>
        <w:pStyle w:val="Heading1"/>
        <w:spacing w:before="0" w:after="60" w:line="240" w:lineRule="auto"/>
        <w:rPr>
          <w:b/>
          <w:color w:val="7D110C"/>
          <w:sz w:val="28"/>
          <w:szCs w:val="28"/>
        </w:rPr>
      </w:pPr>
      <w:r w:rsidRPr="00143D99">
        <w:rPr>
          <w:b/>
          <w:color w:val="7D110C"/>
          <w:sz w:val="28"/>
          <w:szCs w:val="28"/>
        </w:rPr>
        <w:t>Introduction</w:t>
      </w:r>
    </w:p>
    <w:p w:rsidR="00A50E7C" w:rsidRDefault="007E590E" w:rsidP="00143D99">
      <w:pPr>
        <w:spacing w:after="60" w:line="240" w:lineRule="auto"/>
      </w:pPr>
      <w:r>
        <w:t xml:space="preserve">Financial </w:t>
      </w:r>
      <w:r w:rsidR="00374334">
        <w:t xml:space="preserve">ratios, also known as </w:t>
      </w:r>
      <w:r w:rsidR="001E48B2">
        <w:t xml:space="preserve">accounting </w:t>
      </w:r>
      <w:r>
        <w:t>ratios</w:t>
      </w:r>
      <w:r w:rsidR="00374334">
        <w:t>,</w:t>
      </w:r>
      <w:r>
        <w:t xml:space="preserve"> are </w:t>
      </w:r>
      <w:r w:rsidR="001E48B2">
        <w:t>part of the financial statement analysis</w:t>
      </w:r>
      <w:r w:rsidR="00374334">
        <w:t xml:space="preserve"> and will often relate one financial statement amount to another financial statement amount. </w:t>
      </w:r>
      <w:r w:rsidR="00D57DA9">
        <w:t xml:space="preserve">They are used to perform quantitative analysis and assess </w:t>
      </w:r>
      <w:r w:rsidR="00DA66AD">
        <w:t>an entity’s</w:t>
      </w:r>
      <w:r w:rsidR="00D57DA9">
        <w:t xml:space="preserve"> liquidity, leverage, growth, margins, profitability and more. </w:t>
      </w:r>
      <w:r w:rsidR="00374334">
        <w:t>Analysis of fina</w:t>
      </w:r>
      <w:r w:rsidR="00A50E7C">
        <w:t>ncial ratios serves two main purposes:</w:t>
      </w:r>
    </w:p>
    <w:p w:rsidR="00DB3568" w:rsidRDefault="00A50E7C" w:rsidP="00143D99">
      <w:pPr>
        <w:pStyle w:val="ListParagraph"/>
        <w:numPr>
          <w:ilvl w:val="0"/>
          <w:numId w:val="1"/>
        </w:numPr>
        <w:spacing w:after="60" w:line="240" w:lineRule="auto"/>
        <w:contextualSpacing w:val="0"/>
      </w:pPr>
      <w:r>
        <w:t>T</w:t>
      </w:r>
      <w:r w:rsidR="00374334">
        <w:t xml:space="preserve">rack </w:t>
      </w:r>
      <w:r>
        <w:t xml:space="preserve">financial </w:t>
      </w:r>
      <w:r w:rsidR="00374334">
        <w:t>performance</w:t>
      </w:r>
      <w:r w:rsidR="00DB3568">
        <w:t xml:space="preserve"> </w:t>
      </w:r>
      <w:r>
        <w:t>-</w:t>
      </w:r>
      <w:r w:rsidR="00DB3568">
        <w:t xml:space="preserve"> </w:t>
      </w:r>
      <w:r>
        <w:t xml:space="preserve">comparing ratios in recent periods and tracking the changes in their values over time </w:t>
      </w:r>
      <w:r w:rsidR="00DB3568">
        <w:t>to spot trends to determine if there is improvement or decline</w:t>
      </w:r>
    </w:p>
    <w:p w:rsidR="00DB3568" w:rsidRDefault="00DB3568" w:rsidP="00143D99">
      <w:pPr>
        <w:pStyle w:val="ListParagraph"/>
        <w:numPr>
          <w:ilvl w:val="0"/>
          <w:numId w:val="1"/>
        </w:numPr>
        <w:spacing w:after="60" w:line="240" w:lineRule="auto"/>
        <w:contextualSpacing w:val="0"/>
      </w:pPr>
      <w:r>
        <w:t>M</w:t>
      </w:r>
      <w:r w:rsidR="00374334">
        <w:t xml:space="preserve">ake comparative judgments </w:t>
      </w:r>
      <w:r w:rsidR="00D57DA9">
        <w:t>–</w:t>
      </w:r>
      <w:r>
        <w:t xml:space="preserve"> </w:t>
      </w:r>
      <w:r w:rsidR="00D57DA9">
        <w:t xml:space="preserve">comparing ratios </w:t>
      </w:r>
      <w:r w:rsidR="00A50E7C">
        <w:t xml:space="preserve">against the </w:t>
      </w:r>
      <w:r w:rsidR="00D57DA9">
        <w:t xml:space="preserve">same information reported by competitors to determine financial performance against </w:t>
      </w:r>
      <w:r w:rsidR="00A50E7C">
        <w:t>industry average</w:t>
      </w:r>
      <w:r w:rsidR="00D57DA9">
        <w:t>s</w:t>
      </w:r>
    </w:p>
    <w:p w:rsidR="007E590E" w:rsidRPr="007E590E" w:rsidRDefault="00D57DA9" w:rsidP="00143D99">
      <w:pPr>
        <w:spacing w:after="120" w:line="240" w:lineRule="auto"/>
      </w:pPr>
      <w:r>
        <w:t>Ratios are used by both internal (management) and external (creditors, competitors) parties</w:t>
      </w:r>
      <w:r w:rsidR="000C7C6C">
        <w:t xml:space="preserve"> and are a useful tool in measuring the efficiency and profitability </w:t>
      </w:r>
      <w:r w:rsidR="00DA66AD">
        <w:t>of an entity</w:t>
      </w:r>
      <w:r w:rsidR="000C7C6C">
        <w:t>.</w:t>
      </w:r>
    </w:p>
    <w:p w:rsidR="00DA66AD" w:rsidRPr="00143D99" w:rsidRDefault="00DA66AD" w:rsidP="00143D99">
      <w:pPr>
        <w:pStyle w:val="Heading1"/>
        <w:tabs>
          <w:tab w:val="left" w:pos="6015"/>
        </w:tabs>
        <w:rPr>
          <w:b/>
          <w:color w:val="7D110C"/>
          <w:sz w:val="28"/>
          <w:szCs w:val="28"/>
        </w:rPr>
      </w:pPr>
      <w:r w:rsidRPr="00143D99">
        <w:rPr>
          <w:b/>
          <w:color w:val="7D110C"/>
          <w:sz w:val="28"/>
          <w:szCs w:val="28"/>
        </w:rPr>
        <w:t>Types of Ratios</w:t>
      </w:r>
    </w:p>
    <w:p w:rsidR="00DA66AD" w:rsidRPr="00143D99" w:rsidRDefault="00B54C90" w:rsidP="00143D99">
      <w:pPr>
        <w:pStyle w:val="Heading2"/>
        <w:spacing w:after="60" w:line="240" w:lineRule="auto"/>
        <w:rPr>
          <w:b/>
          <w:color w:val="7D110C"/>
          <w:sz w:val="24"/>
          <w:szCs w:val="24"/>
        </w:rPr>
      </w:pPr>
      <w:r w:rsidRPr="00143D99">
        <w:rPr>
          <w:b/>
          <w:color w:val="7D110C"/>
          <w:sz w:val="24"/>
          <w:szCs w:val="24"/>
        </w:rPr>
        <w:t>Leverage Ratios</w:t>
      </w:r>
    </w:p>
    <w:p w:rsidR="00DA66AD" w:rsidRDefault="00FE1105" w:rsidP="00143D99">
      <w:pPr>
        <w:pStyle w:val="NoSpacing"/>
        <w:spacing w:after="60"/>
      </w:pPr>
      <w:r>
        <w:t>M</w:t>
      </w:r>
      <w:r w:rsidR="00B54C90">
        <w:t>easure the amount of capital that comes from debt. Common leverage ratios include:</w:t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2063"/>
        <w:gridCol w:w="3962"/>
        <w:gridCol w:w="3679"/>
        <w:gridCol w:w="236"/>
      </w:tblGrid>
      <w:tr w:rsidR="00C9271C" w:rsidRPr="00FE1105" w:rsidTr="00143D99">
        <w:trPr>
          <w:gridAfter w:val="1"/>
          <w:wAfter w:w="236" w:type="dxa"/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95" w:rsidRPr="00FE1105" w:rsidRDefault="00A55695" w:rsidP="00A55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Ratio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95" w:rsidRPr="00A55695" w:rsidRDefault="00A55695" w:rsidP="00A55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55695">
              <w:rPr>
                <w:rFonts w:ascii="Calibri" w:eastAsia="Times New Roman" w:hAnsi="Calibri" w:cs="Calibri"/>
                <w:b/>
                <w:color w:val="000000"/>
              </w:rPr>
              <w:t>Description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5" w:rsidRPr="00A55695" w:rsidRDefault="00A55695" w:rsidP="00A55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55695">
              <w:rPr>
                <w:rFonts w:ascii="Calibri" w:eastAsia="Times New Roman" w:hAnsi="Calibri" w:cs="Calibri"/>
                <w:b/>
                <w:color w:val="000000"/>
              </w:rPr>
              <w:t>Calculation</w:t>
            </w:r>
          </w:p>
        </w:tc>
      </w:tr>
      <w:tr w:rsidR="00C9271C" w:rsidRPr="00FE1105" w:rsidTr="00143D99">
        <w:trPr>
          <w:gridAfter w:val="1"/>
          <w:wAfter w:w="236" w:type="dxa"/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695" w:rsidRPr="00FE1105" w:rsidRDefault="00A55695" w:rsidP="00A55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1105">
              <w:rPr>
                <w:rFonts w:ascii="Calibri" w:eastAsia="Times New Roman" w:hAnsi="Calibri" w:cs="Calibri"/>
                <w:b/>
                <w:bCs/>
                <w:color w:val="000000"/>
              </w:rPr>
              <w:t>Debt Ratio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695" w:rsidRPr="00FE1105" w:rsidRDefault="00A55695" w:rsidP="00A55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Measures the portion of assets financed by debt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5" w:rsidRPr="00A55695" w:rsidRDefault="00A55695" w:rsidP="00A55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695">
              <w:rPr>
                <w:rFonts w:ascii="Calibri" w:eastAsia="Times New Roman" w:hAnsi="Calibri" w:cs="Calibri"/>
                <w:color w:val="000000"/>
              </w:rPr>
              <w:t>Total liabilities ÷ Total assets</w:t>
            </w:r>
          </w:p>
        </w:tc>
      </w:tr>
      <w:tr w:rsidR="00C9271C" w:rsidRPr="00FE1105" w:rsidTr="00143D99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695" w:rsidRPr="00FE1105" w:rsidRDefault="00A55695" w:rsidP="00A55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1105">
              <w:rPr>
                <w:rFonts w:ascii="Calibri" w:eastAsia="Times New Roman" w:hAnsi="Calibri" w:cs="Calibri"/>
                <w:b/>
                <w:bCs/>
                <w:color w:val="000000"/>
              </w:rPr>
              <w:t>Debt to Equity Ratio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695" w:rsidRPr="00FE1105" w:rsidRDefault="00C9271C" w:rsidP="00A55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Calculates the weight of total debt and financial liabilities against equity (fund balance)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95" w:rsidRPr="00A55695" w:rsidRDefault="00A55695" w:rsidP="00A55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695">
              <w:rPr>
                <w:rFonts w:ascii="Calibri" w:eastAsia="Times New Roman" w:hAnsi="Calibri" w:cs="Calibri"/>
                <w:color w:val="000000"/>
              </w:rPr>
              <w:t>Total liabilities ÷ Fund Balance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95" w:rsidRPr="00A55695" w:rsidRDefault="00A55695" w:rsidP="00A55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</w:tbl>
    <w:p w:rsidR="00B54C90" w:rsidRDefault="00B54C90" w:rsidP="00DA66AD">
      <w:pPr>
        <w:pStyle w:val="NoSpacing"/>
      </w:pPr>
    </w:p>
    <w:p w:rsidR="00FE1105" w:rsidRPr="00143D99" w:rsidRDefault="00FE1105" w:rsidP="00143D99">
      <w:pPr>
        <w:pStyle w:val="Heading2"/>
        <w:spacing w:before="0" w:after="60" w:line="240" w:lineRule="auto"/>
        <w:rPr>
          <w:b/>
          <w:color w:val="7D110C"/>
          <w:sz w:val="24"/>
          <w:szCs w:val="24"/>
        </w:rPr>
      </w:pPr>
      <w:r w:rsidRPr="00143D99">
        <w:rPr>
          <w:b/>
          <w:color w:val="7D110C"/>
          <w:sz w:val="24"/>
          <w:szCs w:val="24"/>
        </w:rPr>
        <w:t>Liquidity Ratios</w:t>
      </w:r>
    </w:p>
    <w:p w:rsidR="00B54C90" w:rsidRDefault="00FE1105" w:rsidP="00143D99">
      <w:pPr>
        <w:pStyle w:val="NoSpacing"/>
        <w:spacing w:after="60"/>
      </w:pPr>
      <w:r>
        <w:t>Measure the ability to meet short term debt obligations with short term assets. Common liquidity ratios include:</w:t>
      </w:r>
    </w:p>
    <w:tbl>
      <w:tblPr>
        <w:tblW w:w="9715" w:type="dxa"/>
        <w:tblLook w:val="04A0" w:firstRow="1" w:lastRow="0" w:firstColumn="1" w:lastColumn="0" w:noHBand="0" w:noVBand="1"/>
      </w:tblPr>
      <w:tblGrid>
        <w:gridCol w:w="2065"/>
        <w:gridCol w:w="3960"/>
        <w:gridCol w:w="3690"/>
      </w:tblGrid>
      <w:tr w:rsidR="00C9271C" w:rsidRPr="00A55695" w:rsidTr="00143D99">
        <w:trPr>
          <w:trHeight w:val="402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1C" w:rsidRPr="00FE1105" w:rsidRDefault="00C9271C" w:rsidP="00405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Ratio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1C" w:rsidRPr="00A55695" w:rsidRDefault="00C9271C" w:rsidP="00405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55695">
              <w:rPr>
                <w:rFonts w:ascii="Calibri" w:eastAsia="Times New Roman" w:hAnsi="Calibri" w:cs="Calibri"/>
                <w:b/>
                <w:color w:val="000000"/>
              </w:rPr>
              <w:t>Description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1C" w:rsidRPr="00A55695" w:rsidRDefault="00C9271C" w:rsidP="00405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55695">
              <w:rPr>
                <w:rFonts w:ascii="Calibri" w:eastAsia="Times New Roman" w:hAnsi="Calibri" w:cs="Calibri"/>
                <w:b/>
                <w:color w:val="000000"/>
              </w:rPr>
              <w:t>Calculation</w:t>
            </w:r>
          </w:p>
        </w:tc>
      </w:tr>
      <w:tr w:rsidR="00A55695" w:rsidRPr="00FE1105" w:rsidTr="00143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2065" w:type="dxa"/>
            <w:shd w:val="clear" w:color="auto" w:fill="auto"/>
            <w:noWrap/>
            <w:hideMark/>
          </w:tcPr>
          <w:p w:rsidR="00A55695" w:rsidRPr="00FE1105" w:rsidRDefault="00A55695" w:rsidP="00C92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1105">
              <w:rPr>
                <w:rFonts w:ascii="Calibri" w:eastAsia="Times New Roman" w:hAnsi="Calibri" w:cs="Calibri"/>
                <w:b/>
                <w:bCs/>
                <w:color w:val="000000"/>
              </w:rPr>
              <w:t>Current Ratio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A55695" w:rsidRPr="00FE1105" w:rsidRDefault="00A55695" w:rsidP="008F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Measures the ability to pay off short-term liabilities with current assets </w:t>
            </w:r>
          </w:p>
        </w:tc>
        <w:tc>
          <w:tcPr>
            <w:tcW w:w="3690" w:type="dxa"/>
            <w:vAlign w:val="center"/>
          </w:tcPr>
          <w:p w:rsidR="00A55695" w:rsidRDefault="008F022C" w:rsidP="00C92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  <w:r w:rsidR="00A55695" w:rsidRPr="00FE11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urrent assets ÷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  <w:r w:rsidR="00A55695" w:rsidRPr="00FE11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urrent liabilities</w:t>
            </w:r>
          </w:p>
        </w:tc>
      </w:tr>
      <w:tr w:rsidR="00A55695" w:rsidRPr="00FE1105" w:rsidTr="00143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065" w:type="dxa"/>
            <w:shd w:val="clear" w:color="auto" w:fill="auto"/>
            <w:noWrap/>
            <w:hideMark/>
          </w:tcPr>
          <w:p w:rsidR="00A55695" w:rsidRPr="00FE1105" w:rsidRDefault="00A55695" w:rsidP="00C92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1105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Quick Ratio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A55695" w:rsidRPr="00FE1105" w:rsidRDefault="00C92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Measures the ability to pay short-term obligations using more liquid types of current (quick) assets</w:t>
            </w:r>
          </w:p>
        </w:tc>
        <w:tc>
          <w:tcPr>
            <w:tcW w:w="3690" w:type="dxa"/>
            <w:vAlign w:val="center"/>
          </w:tcPr>
          <w:p w:rsidR="00A55695" w:rsidRPr="00FE1105" w:rsidRDefault="00C9271C" w:rsidP="00C92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105">
              <w:rPr>
                <w:rFonts w:ascii="Calibri" w:eastAsia="Times New Roman" w:hAnsi="Calibri" w:cs="Calibri"/>
                <w:color w:val="000000"/>
              </w:rPr>
              <w:t>(Cash + Marketable securities + Accounts receivable) ÷ Current liabilities</w:t>
            </w:r>
          </w:p>
        </w:tc>
      </w:tr>
    </w:tbl>
    <w:p w:rsidR="004B12C2" w:rsidRDefault="004B12C2" w:rsidP="004B12C2">
      <w:pPr>
        <w:pStyle w:val="NoSpacing"/>
        <w:tabs>
          <w:tab w:val="left" w:pos="930"/>
        </w:tabs>
      </w:pPr>
      <w:r>
        <w:br w:type="page"/>
      </w:r>
    </w:p>
    <w:p w:rsidR="00FE1105" w:rsidRDefault="00FE1105" w:rsidP="00143D99">
      <w:pPr>
        <w:pStyle w:val="NoSpacing"/>
        <w:tabs>
          <w:tab w:val="left" w:pos="930"/>
        </w:tabs>
      </w:pPr>
    </w:p>
    <w:p w:rsidR="00FE1105" w:rsidRPr="00143D99" w:rsidRDefault="00FE1105" w:rsidP="00143D99">
      <w:pPr>
        <w:pStyle w:val="Heading2"/>
        <w:spacing w:before="0" w:after="60" w:line="240" w:lineRule="auto"/>
        <w:rPr>
          <w:b/>
          <w:color w:val="7D110C"/>
          <w:sz w:val="24"/>
          <w:szCs w:val="24"/>
        </w:rPr>
      </w:pPr>
      <w:r w:rsidRPr="00143D99">
        <w:rPr>
          <w:b/>
          <w:color w:val="7D110C"/>
          <w:sz w:val="24"/>
          <w:szCs w:val="24"/>
        </w:rPr>
        <w:t>Profitability Ratios</w:t>
      </w:r>
    </w:p>
    <w:p w:rsidR="00FE1105" w:rsidRDefault="00C9271C" w:rsidP="00143D99">
      <w:pPr>
        <w:pStyle w:val="NoSpacing"/>
        <w:spacing w:after="60"/>
      </w:pPr>
      <w:r>
        <w:t xml:space="preserve">Measures </w:t>
      </w:r>
      <w:r w:rsidR="00332FCA">
        <w:t>the ability to generate income. Common profitability ratios include:</w:t>
      </w:r>
      <w:r>
        <w:t xml:space="preserve"> </w:t>
      </w:r>
    </w:p>
    <w:tbl>
      <w:tblPr>
        <w:tblW w:w="9715" w:type="dxa"/>
        <w:tblLook w:val="04A0" w:firstRow="1" w:lastRow="0" w:firstColumn="1" w:lastColumn="0" w:noHBand="0" w:noVBand="1"/>
      </w:tblPr>
      <w:tblGrid>
        <w:gridCol w:w="2065"/>
        <w:gridCol w:w="3960"/>
        <w:gridCol w:w="3690"/>
      </w:tblGrid>
      <w:tr w:rsidR="00332FCA" w:rsidRPr="00FE1105" w:rsidTr="00143D99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FCA" w:rsidRPr="00FE1105" w:rsidRDefault="00332FCA" w:rsidP="00332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Ratio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FCA" w:rsidRPr="00A55695" w:rsidRDefault="00332FCA" w:rsidP="00332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55695">
              <w:rPr>
                <w:rFonts w:ascii="Calibri" w:eastAsia="Times New Roman" w:hAnsi="Calibri" w:cs="Calibri"/>
                <w:b/>
                <w:color w:val="000000"/>
              </w:rPr>
              <w:t>Description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CA" w:rsidRPr="00A55695" w:rsidRDefault="00332FCA" w:rsidP="00332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55695">
              <w:rPr>
                <w:rFonts w:ascii="Calibri" w:eastAsia="Times New Roman" w:hAnsi="Calibri" w:cs="Calibri"/>
                <w:b/>
                <w:color w:val="000000"/>
              </w:rPr>
              <w:t>Calculation</w:t>
            </w:r>
          </w:p>
        </w:tc>
      </w:tr>
      <w:tr w:rsidR="00332FCA" w:rsidRPr="00FE1105" w:rsidTr="00143D99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FCA" w:rsidRPr="00FE1105" w:rsidRDefault="00332FCA" w:rsidP="00332FC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Gross Margin R</w:t>
            </w:r>
            <w:r w:rsidRPr="00FE1105">
              <w:rPr>
                <w:rFonts w:ascii="Calibri" w:eastAsia="Times New Roman" w:hAnsi="Calibri" w:cs="Calibri"/>
                <w:b/>
                <w:color w:val="000000"/>
              </w:rPr>
              <w:t>atio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FCA" w:rsidRPr="00FE1105" w:rsidRDefault="00332FCA" w:rsidP="00332FC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Evaluates how much gross profit is generated from sales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CA" w:rsidRPr="00FE1105" w:rsidRDefault="00332FCA" w:rsidP="00332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FE1105">
              <w:rPr>
                <w:rFonts w:ascii="Calibri" w:eastAsia="Times New Roman" w:hAnsi="Calibri" w:cs="Calibri"/>
                <w:bCs/>
                <w:color w:val="000000"/>
              </w:rPr>
              <w:t>Gross profit ÷ Net sales</w:t>
            </w:r>
          </w:p>
        </w:tc>
      </w:tr>
      <w:tr w:rsidR="00332FCA" w:rsidRPr="00FE1105" w:rsidTr="00143D99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FCA" w:rsidRPr="00FE1105" w:rsidRDefault="00332FCA" w:rsidP="00332FC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E1105">
              <w:rPr>
                <w:rFonts w:ascii="Calibri" w:eastAsia="Times New Roman" w:hAnsi="Calibri" w:cs="Calibri"/>
                <w:b/>
                <w:color w:val="000000"/>
              </w:rPr>
              <w:t>Contribution Margin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Ratio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FCA" w:rsidRPr="00FE1105" w:rsidRDefault="00A55882" w:rsidP="00A5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Measures percent of revenue available to cover fixed costs</w:t>
            </w:r>
            <w:r w:rsidR="00FE2A86">
              <w:rPr>
                <w:rFonts w:ascii="Calibri" w:eastAsia="Times New Roman" w:hAnsi="Calibri" w:cs="Calibri"/>
                <w:color w:val="000000"/>
              </w:rPr>
              <w:t xml:space="preserve"> and net income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CA" w:rsidRPr="00FE1105" w:rsidRDefault="00332FCA" w:rsidP="00A558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105">
              <w:rPr>
                <w:rFonts w:ascii="Calibri" w:eastAsia="Times New Roman" w:hAnsi="Calibri" w:cs="Calibri"/>
                <w:color w:val="000000"/>
              </w:rPr>
              <w:t>(</w:t>
            </w:r>
            <w:r>
              <w:rPr>
                <w:rFonts w:ascii="Calibri" w:eastAsia="Times New Roman" w:hAnsi="Calibri" w:cs="Calibri"/>
                <w:color w:val="000000"/>
              </w:rPr>
              <w:t>Sales</w:t>
            </w:r>
            <w:r w:rsidRPr="00FE1105">
              <w:rPr>
                <w:rFonts w:ascii="Calibri" w:eastAsia="Times New Roman" w:hAnsi="Calibri" w:cs="Calibri"/>
                <w:color w:val="000000"/>
              </w:rPr>
              <w:t xml:space="preserve"> - </w:t>
            </w:r>
            <w:r w:rsidR="00A55882">
              <w:rPr>
                <w:rFonts w:ascii="Calibri" w:eastAsia="Times New Roman" w:hAnsi="Calibri" w:cs="Calibri"/>
                <w:color w:val="000000"/>
              </w:rPr>
              <w:t>V</w:t>
            </w:r>
            <w:r w:rsidRPr="00FE1105">
              <w:rPr>
                <w:rFonts w:ascii="Calibri" w:eastAsia="Times New Roman" w:hAnsi="Calibri" w:cs="Calibri"/>
                <w:color w:val="000000"/>
              </w:rPr>
              <w:t xml:space="preserve">ariable </w:t>
            </w:r>
            <w:r w:rsidR="00A55882">
              <w:rPr>
                <w:rFonts w:ascii="Calibri" w:eastAsia="Times New Roman" w:hAnsi="Calibri" w:cs="Calibri"/>
                <w:color w:val="000000"/>
              </w:rPr>
              <w:t>expenses</w:t>
            </w:r>
            <w:r w:rsidRPr="00FE1105">
              <w:rPr>
                <w:rFonts w:ascii="Calibri" w:eastAsia="Times New Roman" w:hAnsi="Calibri" w:cs="Calibri"/>
                <w:color w:val="000000"/>
              </w:rPr>
              <w:t>) ÷ </w:t>
            </w:r>
            <w:r w:rsidR="00A55882">
              <w:rPr>
                <w:rFonts w:ascii="Calibri" w:eastAsia="Times New Roman" w:hAnsi="Calibri" w:cs="Calibri"/>
                <w:color w:val="000000"/>
              </w:rPr>
              <w:t>Sales</w:t>
            </w:r>
          </w:p>
        </w:tc>
      </w:tr>
      <w:tr w:rsidR="00332FCA" w:rsidRPr="00FE1105" w:rsidTr="00143D99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FCA" w:rsidRPr="00FE1105" w:rsidRDefault="00332FCA" w:rsidP="00FE2A8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Return on </w:t>
            </w:r>
            <w:r w:rsidR="00FE2A86">
              <w:rPr>
                <w:rFonts w:ascii="Calibri" w:eastAsia="Times New Roman" w:hAnsi="Calibri" w:cs="Calibri"/>
                <w:b/>
                <w:color w:val="000000"/>
              </w:rPr>
              <w:t>Sales</w:t>
            </w:r>
            <w:r w:rsidRPr="00FE1105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R</w:t>
            </w:r>
            <w:r w:rsidRPr="00FE1105">
              <w:rPr>
                <w:rFonts w:ascii="Calibri" w:eastAsia="Times New Roman" w:hAnsi="Calibri" w:cs="Calibri"/>
                <w:b/>
                <w:color w:val="000000"/>
              </w:rPr>
              <w:t>atio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CA" w:rsidRPr="00FE1105" w:rsidRDefault="00FE2A86" w:rsidP="00332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Measures percent of income derived from sales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CA" w:rsidRPr="00FE1105" w:rsidRDefault="00332FCA" w:rsidP="00FE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1105">
              <w:rPr>
                <w:rFonts w:ascii="Calibri" w:eastAsia="Times New Roman" w:hAnsi="Calibri" w:cs="Calibri"/>
                <w:color w:val="000000"/>
              </w:rPr>
              <w:t>Net Income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E1105">
              <w:rPr>
                <w:rFonts w:ascii="Calibri" w:eastAsia="Times New Roman" w:hAnsi="Calibri" w:cs="Calibri"/>
                <w:color w:val="000000"/>
              </w:rPr>
              <w:t>÷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E2A86">
              <w:rPr>
                <w:rFonts w:ascii="Calibri" w:eastAsia="Times New Roman" w:hAnsi="Calibri" w:cs="Calibri"/>
                <w:color w:val="000000"/>
              </w:rPr>
              <w:t>Net Sales</w:t>
            </w:r>
          </w:p>
        </w:tc>
      </w:tr>
    </w:tbl>
    <w:p w:rsidR="00FE1105" w:rsidRDefault="00FE1105" w:rsidP="00DA66AD">
      <w:pPr>
        <w:pStyle w:val="NoSpacing"/>
      </w:pPr>
    </w:p>
    <w:p w:rsidR="00666AC4" w:rsidRPr="00143D99" w:rsidRDefault="00666AC4" w:rsidP="00143D99">
      <w:pPr>
        <w:pStyle w:val="Heading2"/>
        <w:spacing w:before="0" w:after="60"/>
        <w:rPr>
          <w:b/>
          <w:color w:val="7D110C"/>
          <w:sz w:val="24"/>
          <w:szCs w:val="24"/>
        </w:rPr>
      </w:pPr>
      <w:r w:rsidRPr="00143D99">
        <w:rPr>
          <w:b/>
          <w:color w:val="7D110C"/>
          <w:sz w:val="24"/>
          <w:szCs w:val="24"/>
        </w:rPr>
        <w:t>Efficiency Ratios</w:t>
      </w:r>
    </w:p>
    <w:p w:rsidR="00666AC4" w:rsidRDefault="00666AC4" w:rsidP="00143D99">
      <w:pPr>
        <w:spacing w:after="60" w:line="240" w:lineRule="auto"/>
      </w:pPr>
      <w:r>
        <w:t xml:space="preserve">Measures the ability to use assets and liabilities to generate sales. </w:t>
      </w:r>
      <w:r w:rsidR="00FE2A86">
        <w:t>Common efficiency ratios include: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960"/>
        <w:gridCol w:w="3686"/>
      </w:tblGrid>
      <w:tr w:rsidR="00FE2A86" w:rsidRPr="00666AC4" w:rsidTr="00143D99">
        <w:trPr>
          <w:trHeight w:val="300"/>
        </w:trPr>
        <w:tc>
          <w:tcPr>
            <w:tcW w:w="2065" w:type="dxa"/>
            <w:shd w:val="clear" w:color="auto" w:fill="auto"/>
            <w:noWrap/>
            <w:vAlign w:val="center"/>
          </w:tcPr>
          <w:p w:rsidR="007C74E6" w:rsidRDefault="007C74E6" w:rsidP="00FE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FE2A86" w:rsidRPr="00FE1105" w:rsidRDefault="00FE2A86" w:rsidP="00FE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Ratio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FE2A86" w:rsidRPr="00A55695" w:rsidRDefault="00FE2A86" w:rsidP="00FE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55695">
              <w:rPr>
                <w:rFonts w:ascii="Calibri" w:eastAsia="Times New Roman" w:hAnsi="Calibri" w:cs="Calibri"/>
                <w:b/>
                <w:color w:val="000000"/>
              </w:rPr>
              <w:t>Description</w:t>
            </w:r>
          </w:p>
        </w:tc>
        <w:tc>
          <w:tcPr>
            <w:tcW w:w="3686" w:type="dxa"/>
            <w:vAlign w:val="center"/>
          </w:tcPr>
          <w:p w:rsidR="00FE2A86" w:rsidRPr="00A55695" w:rsidRDefault="00FE2A86" w:rsidP="00FE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55695">
              <w:rPr>
                <w:rFonts w:ascii="Calibri" w:eastAsia="Times New Roman" w:hAnsi="Calibri" w:cs="Calibri"/>
                <w:b/>
                <w:color w:val="000000"/>
              </w:rPr>
              <w:t>Calculation</w:t>
            </w:r>
          </w:p>
        </w:tc>
      </w:tr>
      <w:tr w:rsidR="00FE2A86" w:rsidRPr="00666AC4" w:rsidTr="00143D99">
        <w:trPr>
          <w:trHeight w:val="300"/>
        </w:trPr>
        <w:tc>
          <w:tcPr>
            <w:tcW w:w="2065" w:type="dxa"/>
            <w:shd w:val="clear" w:color="auto" w:fill="auto"/>
            <w:noWrap/>
            <w:hideMark/>
          </w:tcPr>
          <w:p w:rsidR="00FE2A86" w:rsidRPr="00666AC4" w:rsidRDefault="00FE2A86" w:rsidP="00FE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Accounts </w:t>
            </w:r>
            <w:r w:rsidRPr="00666AC4">
              <w:rPr>
                <w:rFonts w:ascii="Calibri" w:eastAsia="Times New Roman" w:hAnsi="Calibri" w:cs="Calibri"/>
                <w:b/>
                <w:bCs/>
                <w:color w:val="000000"/>
              </w:rPr>
              <w:t>Receivabl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 Turnover R</w:t>
            </w:r>
            <w:r w:rsidRPr="00666AC4">
              <w:rPr>
                <w:rFonts w:ascii="Calibri" w:eastAsia="Times New Roman" w:hAnsi="Calibri" w:cs="Calibri"/>
                <w:b/>
                <w:bCs/>
                <w:color w:val="000000"/>
              </w:rPr>
              <w:t>atio</w:t>
            </w:r>
          </w:p>
        </w:tc>
        <w:tc>
          <w:tcPr>
            <w:tcW w:w="3960" w:type="dxa"/>
            <w:shd w:val="clear" w:color="auto" w:fill="auto"/>
            <w:noWrap/>
            <w:vAlign w:val="bottom"/>
          </w:tcPr>
          <w:p w:rsidR="00FE2A86" w:rsidRPr="00666AC4" w:rsidRDefault="00FE2A86" w:rsidP="007B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Measures</w:t>
            </w:r>
            <w:r w:rsidR="007B7282">
              <w:rPr>
                <w:rFonts w:ascii="Calibri" w:eastAsia="Times New Roman" w:hAnsi="Calibri" w:cs="Calibri"/>
                <w:color w:val="000000"/>
              </w:rPr>
              <w:t xml:space="preserve"> the average number of times in a year a company collects its open accounts</w:t>
            </w:r>
          </w:p>
        </w:tc>
        <w:tc>
          <w:tcPr>
            <w:tcW w:w="3686" w:type="dxa"/>
            <w:vAlign w:val="center"/>
          </w:tcPr>
          <w:p w:rsidR="003838D8" w:rsidRDefault="00FE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AC4">
              <w:rPr>
                <w:rFonts w:ascii="Calibri" w:eastAsia="Times New Roman" w:hAnsi="Calibri" w:cs="Calibri"/>
                <w:color w:val="000000"/>
              </w:rPr>
              <w:t>Net credit sales ÷ Average</w:t>
            </w:r>
          </w:p>
          <w:p w:rsidR="00FE2A86" w:rsidRPr="00666AC4" w:rsidRDefault="00FE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AC4">
              <w:rPr>
                <w:rFonts w:ascii="Calibri" w:eastAsia="Times New Roman" w:hAnsi="Calibri" w:cs="Calibri"/>
                <w:color w:val="000000"/>
              </w:rPr>
              <w:t>accounts receivable</w:t>
            </w:r>
          </w:p>
        </w:tc>
      </w:tr>
      <w:tr w:rsidR="00FE2A86" w:rsidRPr="00666AC4" w:rsidTr="00143D99">
        <w:trPr>
          <w:trHeight w:val="300"/>
        </w:trPr>
        <w:tc>
          <w:tcPr>
            <w:tcW w:w="2065" w:type="dxa"/>
            <w:shd w:val="clear" w:color="auto" w:fill="auto"/>
            <w:noWrap/>
            <w:hideMark/>
          </w:tcPr>
          <w:p w:rsidR="00FE2A86" w:rsidRPr="00666AC4" w:rsidRDefault="00FE2A86" w:rsidP="00FE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AC4">
              <w:rPr>
                <w:rFonts w:ascii="Calibri" w:eastAsia="Times New Roman" w:hAnsi="Calibri" w:cs="Calibri"/>
                <w:b/>
                <w:bCs/>
                <w:color w:val="000000"/>
              </w:rPr>
              <w:t>Days' sales in receivables (avg</w:t>
            </w:r>
            <w:r w:rsidR="003838D8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  <w:r w:rsidRPr="00666AC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collection period)</w:t>
            </w:r>
          </w:p>
        </w:tc>
        <w:tc>
          <w:tcPr>
            <w:tcW w:w="3960" w:type="dxa"/>
            <w:shd w:val="clear" w:color="auto" w:fill="auto"/>
            <w:noWrap/>
            <w:vAlign w:val="bottom"/>
          </w:tcPr>
          <w:p w:rsidR="00FE2A86" w:rsidRPr="00666AC4" w:rsidRDefault="007B7282" w:rsidP="00FE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Provides average number of days it takes to collect a receivable</w:t>
            </w:r>
          </w:p>
        </w:tc>
        <w:tc>
          <w:tcPr>
            <w:tcW w:w="3686" w:type="dxa"/>
            <w:vAlign w:val="center"/>
          </w:tcPr>
          <w:p w:rsidR="00FE2A86" w:rsidRPr="00666AC4" w:rsidRDefault="00FE2A86" w:rsidP="00FE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AC4">
              <w:rPr>
                <w:rFonts w:ascii="Calibri" w:eastAsia="Times New Roman" w:hAnsi="Calibri" w:cs="Calibri"/>
                <w:color w:val="000000"/>
              </w:rPr>
              <w:t>365 days ÷ receivables turnover ratio</w:t>
            </w:r>
          </w:p>
        </w:tc>
      </w:tr>
      <w:tr w:rsidR="00FE2A86" w:rsidRPr="00666AC4" w:rsidTr="00143D99">
        <w:trPr>
          <w:trHeight w:val="300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E2A86" w:rsidRPr="00666AC4" w:rsidRDefault="00FE2A86" w:rsidP="00FE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Inventory Turnover R</w:t>
            </w:r>
            <w:r w:rsidRPr="00666AC4">
              <w:rPr>
                <w:rFonts w:ascii="Calibri" w:eastAsia="Times New Roman" w:hAnsi="Calibri" w:cs="Calibri"/>
                <w:b/>
                <w:bCs/>
                <w:color w:val="000000"/>
              </w:rPr>
              <w:t>atio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A86" w:rsidRPr="00666AC4" w:rsidRDefault="007B7282" w:rsidP="00FE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Measures the number of times inventory is sold and replaced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E2A86" w:rsidRPr="00666AC4" w:rsidRDefault="00FE2A86" w:rsidP="00FE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AC4">
              <w:rPr>
                <w:rFonts w:ascii="Calibri" w:eastAsia="Times New Roman" w:hAnsi="Calibri" w:cs="Calibri"/>
                <w:color w:val="000000"/>
              </w:rPr>
              <w:t>Cost of goods sold ÷ Average inventory</w:t>
            </w:r>
          </w:p>
        </w:tc>
      </w:tr>
      <w:tr w:rsidR="00FE2A86" w:rsidRPr="00666AC4" w:rsidTr="00143D99">
        <w:trPr>
          <w:trHeight w:val="300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E2A86" w:rsidRPr="00666AC4" w:rsidRDefault="00FE2A86" w:rsidP="00FE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AC4">
              <w:rPr>
                <w:rFonts w:ascii="Calibri" w:eastAsia="Times New Roman" w:hAnsi="Calibri" w:cs="Calibri"/>
                <w:b/>
                <w:bCs/>
                <w:color w:val="000000"/>
              </w:rPr>
              <w:t>Day's sales in inventory (days to sell)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A86" w:rsidRPr="00666AC4" w:rsidRDefault="007B7282" w:rsidP="00FE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Calculates average number of days inventory sits before selling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E2A86" w:rsidRPr="00666AC4" w:rsidRDefault="00FE2A86" w:rsidP="00FE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AC4">
              <w:rPr>
                <w:rFonts w:ascii="Calibri" w:eastAsia="Times New Roman" w:hAnsi="Calibri" w:cs="Calibri"/>
                <w:color w:val="000000"/>
              </w:rPr>
              <w:t>365 days ÷ Inventory turnover ratio</w:t>
            </w:r>
          </w:p>
        </w:tc>
      </w:tr>
    </w:tbl>
    <w:p w:rsidR="00666AC4" w:rsidRPr="00666AC4" w:rsidRDefault="00666AC4" w:rsidP="00666AC4"/>
    <w:sectPr w:rsidR="00666AC4" w:rsidRPr="00666AC4" w:rsidSect="00143D99">
      <w:pgSz w:w="12240" w:h="15840"/>
      <w:pgMar w:top="72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03F" w:rsidRDefault="00BD303F" w:rsidP="00374334">
      <w:pPr>
        <w:spacing w:after="0" w:line="240" w:lineRule="auto"/>
      </w:pPr>
      <w:r>
        <w:separator/>
      </w:r>
    </w:p>
  </w:endnote>
  <w:endnote w:type="continuationSeparator" w:id="0">
    <w:p w:rsidR="00BD303F" w:rsidRDefault="00BD303F" w:rsidP="0037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03F" w:rsidRDefault="00BD303F" w:rsidP="00374334">
      <w:pPr>
        <w:spacing w:after="0" w:line="240" w:lineRule="auto"/>
      </w:pPr>
      <w:r>
        <w:separator/>
      </w:r>
    </w:p>
  </w:footnote>
  <w:footnote w:type="continuationSeparator" w:id="0">
    <w:p w:rsidR="00BD303F" w:rsidRDefault="00BD303F" w:rsidP="00374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948CC"/>
    <w:multiLevelType w:val="hybridMultilevel"/>
    <w:tmpl w:val="1018B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0E"/>
    <w:rsid w:val="000C7C6C"/>
    <w:rsid w:val="00143D99"/>
    <w:rsid w:val="001E48B2"/>
    <w:rsid w:val="002777B2"/>
    <w:rsid w:val="00332FCA"/>
    <w:rsid w:val="00374334"/>
    <w:rsid w:val="003838D8"/>
    <w:rsid w:val="004B12C2"/>
    <w:rsid w:val="00512FBF"/>
    <w:rsid w:val="00595FBA"/>
    <w:rsid w:val="005C1C3D"/>
    <w:rsid w:val="00624BC1"/>
    <w:rsid w:val="00666AC4"/>
    <w:rsid w:val="007A74AB"/>
    <w:rsid w:val="007B7282"/>
    <w:rsid w:val="007C74E6"/>
    <w:rsid w:val="007E590E"/>
    <w:rsid w:val="008F022C"/>
    <w:rsid w:val="009B3A7F"/>
    <w:rsid w:val="00A075DC"/>
    <w:rsid w:val="00A50E7C"/>
    <w:rsid w:val="00A55695"/>
    <w:rsid w:val="00A55882"/>
    <w:rsid w:val="00B54C90"/>
    <w:rsid w:val="00BD303F"/>
    <w:rsid w:val="00BF04AF"/>
    <w:rsid w:val="00C70647"/>
    <w:rsid w:val="00C9271C"/>
    <w:rsid w:val="00CE5079"/>
    <w:rsid w:val="00CF5D8D"/>
    <w:rsid w:val="00D53F61"/>
    <w:rsid w:val="00D57DA9"/>
    <w:rsid w:val="00DA66AD"/>
    <w:rsid w:val="00DB3568"/>
    <w:rsid w:val="00EC4254"/>
    <w:rsid w:val="00FE1105"/>
    <w:rsid w:val="00FE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5E7CCF8-421E-4CD4-9748-7F50E3CE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9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59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9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59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74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334"/>
  </w:style>
  <w:style w:type="paragraph" w:styleId="Footer">
    <w:name w:val="footer"/>
    <w:basedOn w:val="Normal"/>
    <w:link w:val="FooterChar"/>
    <w:uiPriority w:val="99"/>
    <w:unhideWhenUsed/>
    <w:rsid w:val="00374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334"/>
  </w:style>
  <w:style w:type="table" w:styleId="TableGrid">
    <w:name w:val="Table Grid"/>
    <w:basedOn w:val="TableNormal"/>
    <w:uiPriority w:val="39"/>
    <w:rsid w:val="0037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0E7C"/>
    <w:pPr>
      <w:ind w:left="720"/>
      <w:contextualSpacing/>
    </w:pPr>
  </w:style>
  <w:style w:type="paragraph" w:styleId="NoSpacing">
    <w:name w:val="No Spacing"/>
    <w:uiPriority w:val="1"/>
    <w:qFormat/>
    <w:rsid w:val="00DA66A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54C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Elaine Theresa</dc:creator>
  <cp:keywords/>
  <dc:description/>
  <cp:lastModifiedBy>etkenned@iu.edu</cp:lastModifiedBy>
  <cp:revision>9</cp:revision>
  <dcterms:created xsi:type="dcterms:W3CDTF">2021-03-24T18:34:00Z</dcterms:created>
  <dcterms:modified xsi:type="dcterms:W3CDTF">2021-03-29T15:21:00Z</dcterms:modified>
</cp:coreProperties>
</file>