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57" w:rsidRPr="00420957" w:rsidRDefault="00420957" w:rsidP="00420957">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r w:rsidRPr="00420957">
        <w:rPr>
          <w:rFonts w:ascii="Helvetica" w:eastAsia="Times New Roman" w:hAnsi="Helvetica" w:cs="Helvetica"/>
          <w:b/>
          <w:bCs/>
          <w:color w:val="7D110C"/>
          <w:kern w:val="36"/>
          <w:sz w:val="27"/>
          <w:szCs w:val="27"/>
        </w:rPr>
        <w:t>Payments to Foreign Vendor/Supplier</w:t>
      </w:r>
    </w:p>
    <w:p w:rsidR="00420957" w:rsidRP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rFonts w:ascii="Helvetica" w:eastAsia="Times New Roman" w:hAnsi="Helvetica" w:cs="Helvetica"/>
          <w:b/>
          <w:bCs/>
          <w:color w:val="FA0417"/>
          <w:sz w:val="20"/>
          <w:szCs w:val="20"/>
          <w:bdr w:val="none" w:sz="0" w:space="0" w:color="auto" w:frame="1"/>
        </w:rPr>
        <w:t>NOTE:</w:t>
      </w:r>
      <w:r w:rsidRPr="00420957">
        <w:rPr>
          <w:rFonts w:ascii="Helvetica" w:eastAsia="Times New Roman" w:hAnsi="Helvetica" w:cs="Helvetica"/>
          <w:color w:val="424545"/>
          <w:sz w:val="24"/>
          <w:szCs w:val="24"/>
          <w:bdr w:val="none" w:sz="0" w:space="0" w:color="auto" w:frame="1"/>
        </w:rPr>
        <w:t> In BUY.IU the location of where services were performed must be indicated on Requisitions for foreign suppliers. Click </w:t>
      </w:r>
      <w:hyperlink r:id="rId5" w:history="1">
        <w:r w:rsidRPr="00420957">
          <w:rPr>
            <w:rFonts w:ascii="Helvetica" w:eastAsia="Times New Roman" w:hAnsi="Helvetica" w:cs="Helvetica"/>
            <w:b/>
            <w:bCs/>
            <w:color w:val="7D110C"/>
            <w:sz w:val="20"/>
            <w:szCs w:val="20"/>
            <w:u w:val="single"/>
            <w:bdr w:val="none" w:sz="0" w:space="0" w:color="auto" w:frame="1"/>
            <w:shd w:val="clear" w:color="auto" w:fill="FF00FF"/>
          </w:rPr>
          <w:t>HER</w:t>
        </w:r>
        <w:r w:rsidRPr="00420957">
          <w:rPr>
            <w:rFonts w:ascii="Helvetica" w:eastAsia="Times New Roman" w:hAnsi="Helvetica" w:cs="Helvetica"/>
            <w:b/>
            <w:bCs/>
            <w:color w:val="7D110C"/>
            <w:sz w:val="20"/>
            <w:szCs w:val="20"/>
            <w:u w:val="single"/>
            <w:bdr w:val="none" w:sz="0" w:space="0" w:color="auto" w:frame="1"/>
            <w:shd w:val="clear" w:color="auto" w:fill="FF00FF"/>
          </w:rPr>
          <w:t>E</w:t>
        </w:r>
      </w:hyperlink>
      <w:r w:rsidRPr="00420957">
        <w:rPr>
          <w:rFonts w:ascii="Helvetica" w:eastAsia="Times New Roman" w:hAnsi="Helvetica" w:cs="Helvetica"/>
          <w:color w:val="424545"/>
          <w:sz w:val="24"/>
          <w:szCs w:val="24"/>
          <w:bdr w:val="none" w:sz="0" w:space="0" w:color="auto" w:frame="1"/>
        </w:rPr>
        <w:t> for assistance</w:t>
      </w:r>
    </w:p>
    <w:p w:rsidR="00420957" w:rsidRPr="00420957" w:rsidRDefault="00420957" w:rsidP="00420957">
      <w:pPr>
        <w:spacing w:before="150" w:after="150" w:line="240" w:lineRule="auto"/>
        <w:rPr>
          <w:rFonts w:ascii="Times New Roman" w:eastAsia="Times New Roman" w:hAnsi="Times New Roman" w:cs="Times New Roman"/>
          <w:sz w:val="24"/>
          <w:szCs w:val="24"/>
        </w:rPr>
      </w:pPr>
      <w:r w:rsidRPr="00420957">
        <w:rPr>
          <w:rFonts w:ascii="Times New Roman" w:eastAsia="Times New Roman" w:hAnsi="Times New Roman" w:cs="Times New Roman"/>
          <w:sz w:val="24"/>
          <w:szCs w:val="24"/>
        </w:rPr>
        <w:pict>
          <v:rect id="_x0000_i1025" style="width:0;height:10.5pt" o:hrstd="t" o:hrnoshade="t" o:hr="t" fillcolor="#424545" stroked="f"/>
        </w:pict>
      </w:r>
    </w:p>
    <w:p w:rsidR="00420957" w:rsidRPr="00420957" w:rsidRDefault="00420957" w:rsidP="00420957">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420957">
        <w:rPr>
          <w:rFonts w:ascii="Helvetica" w:eastAsia="Times New Roman" w:hAnsi="Helvetica" w:cs="Helvetica"/>
          <w:b/>
          <w:bCs/>
          <w:color w:val="7D110C"/>
          <w:sz w:val="23"/>
          <w:szCs w:val="23"/>
        </w:rPr>
        <w:t>Determining Tax on Payment to Foreign Vendors/Suppliers</w:t>
      </w:r>
    </w:p>
    <w:p w:rsidR="00420957" w:rsidRP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Our department is responsible for withholding taxes from certain payments made to foreign vendors. To assist in this process you must first consider where the actions were performed or used when making a payment to a foreign vendor for any of the following:</w:t>
      </w:r>
    </w:p>
    <w:p w:rsidR="00420957" w:rsidRPr="00420957" w:rsidRDefault="00420957" w:rsidP="00420957">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Services performed</w:t>
      </w:r>
    </w:p>
    <w:p w:rsidR="00420957" w:rsidRPr="00420957" w:rsidRDefault="00420957" w:rsidP="00420957">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Access to the internet</w:t>
      </w:r>
    </w:p>
    <w:p w:rsidR="00420957" w:rsidRDefault="00420957" w:rsidP="00420957">
      <w:pPr>
        <w:numPr>
          <w:ilvl w:val="0"/>
          <w:numId w:val="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"Right to use" a product</w:t>
      </w:r>
    </w:p>
    <w:p w:rsidR="00420957" w:rsidRPr="00420957" w:rsidRDefault="00420957" w:rsidP="00420957">
      <w:pPr>
        <w:shd w:val="clear" w:color="auto" w:fill="FFFFFF"/>
        <w:spacing w:before="75" w:after="0" w:line="240" w:lineRule="auto"/>
        <w:textAlignment w:val="baseline"/>
        <w:rPr>
          <w:rFonts w:ascii="Helvetica" w:eastAsia="Times New Roman" w:hAnsi="Helvetica" w:cs="Helvetica"/>
          <w:color w:val="424545"/>
          <w:sz w:val="18"/>
          <w:szCs w:val="18"/>
        </w:rPr>
      </w:pPr>
    </w:p>
    <w:p w:rsidR="00420957" w:rsidRP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Tax needs to determine whether these payments are taxable or non-taxable by following the criteria listed in the table below. Either outcome requires the submitting department to provide documentation prior to the approval of these payments.</w:t>
      </w:r>
    </w:p>
    <w:p w:rsidR="00420957" w:rsidRP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noProof/>
        </w:rPr>
        <w:drawing>
          <wp:inline distT="0" distB="0" distL="0" distR="0">
            <wp:extent cx="4291894" cy="2489200"/>
            <wp:effectExtent l="0" t="0" r="0" b="6350"/>
            <wp:docPr id="1" name="Picture 1" descr="C:\Users\atseifer\AppData\Local\Microsoft\Windows\INetCache\Content.MSO\6A0BC3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seifer\AppData\Local\Microsoft\Windows\INetCache\Content.MSO\6A0BC3E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624" cy="2497163"/>
                    </a:xfrm>
                    <a:prstGeom prst="rect">
                      <a:avLst/>
                    </a:prstGeom>
                    <a:noFill/>
                    <a:ln>
                      <a:noFill/>
                    </a:ln>
                  </pic:spPr>
                </pic:pic>
              </a:graphicData>
            </a:graphic>
          </wp:inline>
        </w:drawing>
      </w:r>
    </w:p>
    <w:p w:rsidR="00420957" w:rsidRPr="00420957" w:rsidRDefault="00420957" w:rsidP="00420957">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420957">
        <w:rPr>
          <w:rFonts w:ascii="Helvetica" w:eastAsia="Times New Roman" w:hAnsi="Helvetica" w:cs="Helvetica"/>
          <w:b/>
          <w:bCs/>
          <w:color w:val="7D110C"/>
          <w:sz w:val="23"/>
          <w:szCs w:val="23"/>
        </w:rPr>
        <w:t>Non-Taxable Payments</w:t>
      </w:r>
    </w:p>
    <w:p w:rsidR="00420957" w:rsidRP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Any of these type of payments performed or used </w:t>
      </w:r>
      <w:r w:rsidRPr="00420957">
        <w:rPr>
          <w:rFonts w:ascii="Helvetica" w:eastAsia="Times New Roman" w:hAnsi="Helvetica" w:cs="Helvetica"/>
          <w:b/>
          <w:bCs/>
          <w:color w:val="424545"/>
          <w:sz w:val="18"/>
          <w:szCs w:val="18"/>
          <w:bdr w:val="none" w:sz="0" w:space="0" w:color="auto" w:frame="1"/>
        </w:rPr>
        <w:t>outside of the US</w:t>
      </w:r>
      <w:r w:rsidRPr="00420957">
        <w:rPr>
          <w:rFonts w:ascii="Helvetica" w:eastAsia="Times New Roman" w:hAnsi="Helvetica" w:cs="Helvetica"/>
          <w:color w:val="424545"/>
          <w:sz w:val="18"/>
          <w:szCs w:val="18"/>
        </w:rPr>
        <w:t> will not be subject to US taxes. Also, tangible goods purchased from a foreign vendor are not subject to U.S. income tax. The Tax department will only need a current </w:t>
      </w:r>
      <w:hyperlink r:id="rId7" w:tooltip="Form W-8BEN" w:history="1">
        <w:r w:rsidRPr="00420957">
          <w:rPr>
            <w:rFonts w:ascii="Helvetica" w:eastAsia="Times New Roman" w:hAnsi="Helvetica" w:cs="Helvetica"/>
            <w:color w:val="7D110C"/>
            <w:sz w:val="18"/>
            <w:szCs w:val="18"/>
            <w:u w:val="single"/>
            <w:bdr w:val="none" w:sz="0" w:space="0" w:color="auto" w:frame="1"/>
          </w:rPr>
          <w:t>W</w:t>
        </w:r>
        <w:r w:rsidRPr="00420957">
          <w:rPr>
            <w:rFonts w:ascii="Helvetica" w:eastAsia="Times New Roman" w:hAnsi="Helvetica" w:cs="Helvetica"/>
            <w:color w:val="7D110C"/>
            <w:sz w:val="18"/>
            <w:szCs w:val="18"/>
            <w:u w:val="single"/>
            <w:bdr w:val="none" w:sz="0" w:space="0" w:color="auto" w:frame="1"/>
          </w:rPr>
          <w:t>-</w:t>
        </w:r>
        <w:r w:rsidRPr="00420957">
          <w:rPr>
            <w:rFonts w:ascii="Helvetica" w:eastAsia="Times New Roman" w:hAnsi="Helvetica" w:cs="Helvetica"/>
            <w:color w:val="7D110C"/>
            <w:sz w:val="18"/>
            <w:szCs w:val="18"/>
            <w:u w:val="single"/>
            <w:bdr w:val="none" w:sz="0" w:space="0" w:color="auto" w:frame="1"/>
          </w:rPr>
          <w:t>8</w:t>
        </w:r>
      </w:hyperlink>
      <w:r w:rsidRPr="00420957">
        <w:rPr>
          <w:rFonts w:ascii="Helvetica" w:eastAsia="Times New Roman" w:hAnsi="Helvetica" w:cs="Helvetica"/>
          <w:color w:val="424545"/>
          <w:sz w:val="18"/>
          <w:szCs w:val="18"/>
        </w:rPr>
        <w:t> to approve any payment fitting this description.</w:t>
      </w:r>
    </w:p>
    <w:p w:rsidR="00420957" w:rsidRPr="00420957" w:rsidRDefault="00420957" w:rsidP="00420957">
      <w:pPr>
        <w:shd w:val="clear" w:color="auto" w:fill="FFFFFF"/>
        <w:spacing w:before="150" w:after="120" w:line="240" w:lineRule="auto"/>
        <w:textAlignment w:val="baseline"/>
        <w:outlineLvl w:val="1"/>
        <w:rPr>
          <w:rFonts w:ascii="Helvetica" w:eastAsia="Times New Roman" w:hAnsi="Helvetica" w:cs="Helvetica"/>
          <w:b/>
          <w:bCs/>
          <w:color w:val="7D110C"/>
          <w:sz w:val="23"/>
          <w:szCs w:val="23"/>
        </w:rPr>
      </w:pPr>
      <w:r w:rsidRPr="00420957">
        <w:rPr>
          <w:rFonts w:ascii="Helvetica" w:eastAsia="Times New Roman" w:hAnsi="Helvetica" w:cs="Helvetica"/>
          <w:b/>
          <w:bCs/>
          <w:color w:val="7D110C"/>
          <w:sz w:val="23"/>
          <w:szCs w:val="23"/>
        </w:rPr>
        <w:t>Taxable Payments</w:t>
      </w:r>
    </w:p>
    <w:p w:rsidR="00420957" w:rsidRDefault="00420957" w:rsidP="00420957">
      <w:pPr>
        <w:shd w:val="clear" w:color="auto" w:fill="FFFFFF"/>
        <w:spacing w:after="0" w:line="240" w:lineRule="auto"/>
        <w:textAlignment w:val="baseline"/>
        <w:rPr>
          <w:rFonts w:ascii="Helvetica" w:eastAsia="Times New Roman" w:hAnsi="Helvetica" w:cs="Helvetica"/>
          <w:color w:val="424545"/>
          <w:sz w:val="18"/>
          <w:szCs w:val="18"/>
        </w:rPr>
      </w:pPr>
      <w:r w:rsidRPr="00420957">
        <w:rPr>
          <w:rFonts w:ascii="Helvetica" w:eastAsia="Times New Roman" w:hAnsi="Helvetica" w:cs="Helvetica"/>
          <w:color w:val="424545"/>
          <w:sz w:val="18"/>
          <w:szCs w:val="18"/>
        </w:rPr>
        <w:t>Alternatively, when any of the above actions are performed or used within the US. The payment will be subject to income tax and IU is required to withhold at 30%, unless the individual qualifies for </w:t>
      </w:r>
      <w:hyperlink r:id="rId8" w:tooltip="Tax Treaty" w:history="1">
        <w:r w:rsidRPr="00420957">
          <w:rPr>
            <w:rFonts w:ascii="Helvetica" w:eastAsia="Times New Roman" w:hAnsi="Helvetica" w:cs="Helvetica"/>
            <w:color w:val="7D110C"/>
            <w:sz w:val="18"/>
            <w:szCs w:val="18"/>
            <w:u w:val="single"/>
            <w:bdr w:val="none" w:sz="0" w:space="0" w:color="auto" w:frame="1"/>
          </w:rPr>
          <w:t>tax tr</w:t>
        </w:r>
        <w:r w:rsidRPr="00420957">
          <w:rPr>
            <w:rFonts w:ascii="Helvetica" w:eastAsia="Times New Roman" w:hAnsi="Helvetica" w:cs="Helvetica"/>
            <w:color w:val="7D110C"/>
            <w:sz w:val="18"/>
            <w:szCs w:val="18"/>
            <w:u w:val="single"/>
            <w:bdr w:val="none" w:sz="0" w:space="0" w:color="auto" w:frame="1"/>
          </w:rPr>
          <w:t>e</w:t>
        </w:r>
        <w:r w:rsidRPr="00420957">
          <w:rPr>
            <w:rFonts w:ascii="Helvetica" w:eastAsia="Times New Roman" w:hAnsi="Helvetica" w:cs="Helvetica"/>
            <w:color w:val="7D110C"/>
            <w:sz w:val="18"/>
            <w:szCs w:val="18"/>
            <w:u w:val="single"/>
            <w:bdr w:val="none" w:sz="0" w:space="0" w:color="auto" w:frame="1"/>
          </w:rPr>
          <w:t>aty</w:t>
        </w:r>
      </w:hyperlink>
      <w:r w:rsidRPr="00420957">
        <w:rPr>
          <w:rFonts w:ascii="Helvetica" w:eastAsia="Times New Roman" w:hAnsi="Helvetica" w:cs="Helvetica"/>
          <w:color w:val="424545"/>
          <w:sz w:val="18"/>
          <w:szCs w:val="18"/>
        </w:rPr>
        <w:t>. Select the appropriate type of payment and use the instructions provided to process these types of payments.</w:t>
      </w:r>
    </w:p>
    <w:p w:rsidR="00A517A5" w:rsidRDefault="00A517A5" w:rsidP="00420957">
      <w:pPr>
        <w:shd w:val="clear" w:color="auto" w:fill="FFFFFF"/>
        <w:spacing w:after="0" w:line="240" w:lineRule="auto"/>
        <w:textAlignment w:val="baseline"/>
        <w:rPr>
          <w:rFonts w:ascii="Helvetica" w:eastAsia="Times New Roman" w:hAnsi="Helvetica" w:cs="Helvetica"/>
          <w:color w:val="424545"/>
          <w:sz w:val="18"/>
          <w:szCs w:val="18"/>
        </w:rPr>
      </w:pPr>
    </w:p>
    <w:p w:rsidR="00A517A5" w:rsidRDefault="00A517A5" w:rsidP="00A517A5">
      <w:pPr>
        <w:shd w:val="clear" w:color="auto" w:fill="FFFFFF"/>
        <w:textAlignment w:val="baseline"/>
        <w:rPr>
          <w:rFonts w:ascii="Helvetica" w:hAnsi="Helvetica" w:cs="Helvetica"/>
          <w:b/>
          <w:bCs/>
          <w:color w:val="7D110C"/>
          <w:sz w:val="23"/>
          <w:szCs w:val="23"/>
        </w:rPr>
      </w:pPr>
      <w:r>
        <w:rPr>
          <w:rFonts w:ascii="Helvetica" w:hAnsi="Helvetica" w:cs="Helvetica"/>
          <w:b/>
          <w:bCs/>
          <w:color w:val="7D110C"/>
          <w:sz w:val="23"/>
          <w:szCs w:val="23"/>
        </w:rPr>
        <w:t>Services or Honorarium</w:t>
      </w:r>
    </w:p>
    <w:p w:rsidR="00A517A5" w:rsidRDefault="00A517A5" w:rsidP="00A517A5">
      <w:pPr>
        <w:pStyle w:val="NormalWeb"/>
        <w:shd w:val="clear" w:color="auto" w:fill="FFFFFF"/>
        <w:spacing w:before="0" w:beforeAutospacing="0" w:after="0" w:afterAutospacing="0"/>
        <w:textAlignment w:val="baseline"/>
        <w:rPr>
          <w:rFonts w:ascii="Helvetica" w:hAnsi="Helvetica" w:cs="Helvetica"/>
          <w:color w:val="424545"/>
          <w:sz w:val="18"/>
          <w:szCs w:val="18"/>
        </w:rPr>
      </w:pPr>
      <w:r>
        <w:rPr>
          <w:rFonts w:ascii="Helvetica" w:hAnsi="Helvetica" w:cs="Helvetica"/>
          <w:color w:val="424545"/>
          <w:sz w:val="18"/>
          <w:szCs w:val="18"/>
        </w:rPr>
        <w:t>Caution: US law significantly restricts what employment foreign nationals may accept. Consult with the Office of International Services before committing to an honorarium.</w:t>
      </w:r>
    </w:p>
    <w:p w:rsidR="00A517A5" w:rsidRDefault="00A517A5" w:rsidP="00A517A5">
      <w:pPr>
        <w:shd w:val="clear" w:color="auto" w:fill="FFFFFF"/>
        <w:spacing w:after="0" w:line="240" w:lineRule="auto"/>
        <w:textAlignment w:val="baseline"/>
        <w:rPr>
          <w:rFonts w:ascii="Helvetica" w:hAnsi="Helvetica" w:cs="Helvetica"/>
          <w:color w:val="424545"/>
          <w:sz w:val="18"/>
          <w:szCs w:val="18"/>
        </w:rPr>
      </w:pPr>
    </w:p>
    <w:p w:rsidR="00A517A5" w:rsidRPr="00A517A5" w:rsidRDefault="00A517A5" w:rsidP="00A517A5">
      <w:pPr>
        <w:pStyle w:val="ListParagraph"/>
        <w:numPr>
          <w:ilvl w:val="0"/>
          <w:numId w:val="3"/>
        </w:numPr>
        <w:shd w:val="clear" w:color="auto" w:fill="FFFFFF"/>
        <w:spacing w:after="0" w:line="240" w:lineRule="auto"/>
        <w:textAlignment w:val="baseline"/>
        <w:rPr>
          <w:rFonts w:ascii="Helvetica" w:hAnsi="Helvetica" w:cs="Helvetica"/>
          <w:color w:val="424545"/>
          <w:sz w:val="18"/>
          <w:szCs w:val="18"/>
        </w:rPr>
      </w:pPr>
      <w:hyperlink r:id="rId9" w:tgtFrame="_blank" w:history="1">
        <w:r w:rsidRPr="00A517A5">
          <w:rPr>
            <w:rStyle w:val="Hyperlink"/>
            <w:rFonts w:ascii="Helvetica" w:hAnsi="Helvetica" w:cs="Helvetica"/>
            <w:color w:val="7D110C"/>
            <w:sz w:val="18"/>
            <w:szCs w:val="18"/>
            <w:bdr w:val="none" w:sz="0" w:space="0" w:color="auto" w:frame="1"/>
          </w:rPr>
          <w:t>Visas for Faculty, Staff &amp; Visitors</w:t>
        </w:r>
      </w:hyperlink>
    </w:p>
    <w:p w:rsidR="00A517A5" w:rsidRDefault="00A517A5" w:rsidP="00A517A5">
      <w:pPr>
        <w:shd w:val="clear" w:color="auto" w:fill="FFFFFF"/>
        <w:spacing w:after="0" w:line="240" w:lineRule="auto"/>
        <w:textAlignment w:val="baseline"/>
        <w:rPr>
          <w:rFonts w:ascii="Helvetica" w:hAnsi="Helvetica" w:cs="Helvetica"/>
          <w:color w:val="424545"/>
          <w:sz w:val="18"/>
          <w:szCs w:val="18"/>
        </w:rPr>
      </w:pPr>
    </w:p>
    <w:p w:rsidR="00A517A5" w:rsidRDefault="00A517A5" w:rsidP="00A517A5">
      <w:pPr>
        <w:pStyle w:val="NormalWeb"/>
        <w:shd w:val="clear" w:color="auto" w:fill="FFFFFF"/>
        <w:spacing w:before="0" w:beforeAutospacing="0" w:after="0" w:afterAutospacing="0"/>
        <w:textAlignment w:val="baseline"/>
        <w:rPr>
          <w:rFonts w:ascii="Helvetica" w:hAnsi="Helvetica" w:cs="Helvetica"/>
          <w:color w:val="424545"/>
          <w:sz w:val="18"/>
          <w:szCs w:val="18"/>
        </w:rPr>
      </w:pPr>
      <w:r>
        <w:rPr>
          <w:rFonts w:ascii="Helvetica" w:hAnsi="Helvetica" w:cs="Helvetica"/>
          <w:color w:val="424545"/>
          <w:sz w:val="18"/>
          <w:szCs w:val="18"/>
        </w:rPr>
        <w:t>The process for paying an international vendor for services performed within the US is explained in the </w:t>
      </w:r>
      <w:hyperlink r:id="rId10" w:tooltip="Quick Guide" w:history="1">
        <w:r>
          <w:rPr>
            <w:rStyle w:val="Hyperlink"/>
            <w:rFonts w:ascii="Helvetica" w:hAnsi="Helvetica" w:cs="Helvetica"/>
            <w:color w:val="7D110C"/>
            <w:sz w:val="18"/>
            <w:szCs w:val="18"/>
            <w:bdr w:val="none" w:sz="0" w:space="0" w:color="auto" w:frame="1"/>
          </w:rPr>
          <w:t>Quick Guide</w:t>
        </w:r>
      </w:hyperlink>
      <w:r>
        <w:rPr>
          <w:rFonts w:ascii="Helvetica" w:hAnsi="Helvetica" w:cs="Helvetica"/>
          <w:color w:val="424545"/>
          <w:sz w:val="18"/>
          <w:szCs w:val="18"/>
        </w:rPr>
        <w:t xml:space="preserve">. Please indicate on the tax cover sheet whether the department will pay for the tax if the vendor does not qualify for </w:t>
      </w:r>
      <w:r>
        <w:rPr>
          <w:rFonts w:ascii="Helvetica" w:hAnsi="Helvetica" w:cs="Helvetica"/>
          <w:color w:val="424545"/>
          <w:sz w:val="18"/>
          <w:szCs w:val="18"/>
        </w:rPr>
        <w:lastRenderedPageBreak/>
        <w:t>tax treaty benefits. If the department requests to “gross up” the payment, tax will make the adjustment when the payment is routed to us for approval.</w:t>
      </w:r>
    </w:p>
    <w:p w:rsidR="00A517A5" w:rsidRDefault="00A517A5" w:rsidP="00A517A5">
      <w:pPr>
        <w:pStyle w:val="Heading3"/>
        <w:shd w:val="clear" w:color="auto" w:fill="FFFFFF"/>
        <w:spacing w:before="150" w:after="120"/>
        <w:textAlignment w:val="baseline"/>
        <w:rPr>
          <w:rFonts w:ascii="Helvetica" w:hAnsi="Helvetica" w:cs="Helvetica"/>
          <w:color w:val="7D110C"/>
          <w:sz w:val="20"/>
          <w:szCs w:val="20"/>
        </w:rPr>
      </w:pPr>
      <w:r>
        <w:rPr>
          <w:rFonts w:ascii="Helvetica" w:hAnsi="Helvetica" w:cs="Helvetica"/>
          <w:color w:val="7D110C"/>
          <w:sz w:val="20"/>
          <w:szCs w:val="20"/>
        </w:rPr>
        <w:t xml:space="preserve">Example of Gross </w:t>
      </w:r>
      <w:proofErr w:type="gramStart"/>
      <w:r>
        <w:rPr>
          <w:rFonts w:ascii="Helvetica" w:hAnsi="Helvetica" w:cs="Helvetica"/>
          <w:color w:val="7D110C"/>
          <w:sz w:val="20"/>
          <w:szCs w:val="20"/>
        </w:rPr>
        <w:t>Up</w:t>
      </w:r>
      <w:proofErr w:type="gramEnd"/>
      <w:r>
        <w:rPr>
          <w:rFonts w:ascii="Helvetica" w:hAnsi="Helvetica" w:cs="Helvetica"/>
          <w:color w:val="7D110C"/>
          <w:sz w:val="20"/>
          <w:szCs w:val="20"/>
        </w:rPr>
        <w:t xml:space="preserve"> Calculation</w:t>
      </w:r>
    </w:p>
    <w:p w:rsidR="00A517A5" w:rsidRDefault="00A517A5" w:rsidP="00A517A5">
      <w:pPr>
        <w:pStyle w:val="NormalWeb"/>
        <w:shd w:val="clear" w:color="auto" w:fill="FFFFFF"/>
        <w:spacing w:before="0" w:beforeAutospacing="0" w:after="0" w:afterAutospacing="0"/>
        <w:textAlignment w:val="baseline"/>
        <w:rPr>
          <w:rFonts w:ascii="Helvetica" w:hAnsi="Helvetica" w:cs="Helvetica"/>
          <w:color w:val="424545"/>
          <w:sz w:val="18"/>
          <w:szCs w:val="18"/>
        </w:rPr>
      </w:pPr>
      <w:r>
        <w:rPr>
          <w:rFonts w:ascii="Helvetica" w:hAnsi="Helvetica" w:cs="Helvetica"/>
          <w:color w:val="424545"/>
          <w:sz w:val="18"/>
          <w:szCs w:val="18"/>
        </w:rPr>
        <w:t>$1,000 payment to foreign vendor for services rendered.</w:t>
      </w:r>
    </w:p>
    <w:p w:rsidR="00843F4F" w:rsidRDefault="00843F4F" w:rsidP="00A517A5">
      <w:pPr>
        <w:pStyle w:val="NormalWeb"/>
        <w:shd w:val="clear" w:color="auto" w:fill="FFFFFF"/>
        <w:spacing w:before="0" w:beforeAutospacing="0" w:after="0" w:afterAutospacing="0"/>
        <w:textAlignment w:val="baseline"/>
        <w:rPr>
          <w:rFonts w:ascii="Helvetica" w:hAnsi="Helvetica" w:cs="Helvetica"/>
          <w:color w:val="424545"/>
          <w:sz w:val="18"/>
          <w:szCs w:val="18"/>
        </w:rPr>
      </w:pPr>
    </w:p>
    <w:tbl>
      <w:tblPr>
        <w:tblW w:w="0" w:type="auto"/>
        <w:tblInd w:w="75" w:type="dxa"/>
        <w:tblCellMar>
          <w:left w:w="0" w:type="dxa"/>
          <w:right w:w="0" w:type="dxa"/>
        </w:tblCellMar>
        <w:tblLook w:val="04A0" w:firstRow="1" w:lastRow="0" w:firstColumn="1" w:lastColumn="0" w:noHBand="0" w:noVBand="1"/>
      </w:tblPr>
      <w:tblGrid>
        <w:gridCol w:w="2902"/>
        <w:gridCol w:w="2248"/>
      </w:tblGrid>
      <w:tr w:rsidR="00A517A5" w:rsidTr="00A517A5">
        <w:tc>
          <w:tcPr>
            <w:tcW w:w="0" w:type="auto"/>
            <w:tcBorders>
              <w:top w:val="single" w:sz="6" w:space="0" w:color="000000"/>
              <w:left w:val="single" w:sz="6" w:space="0" w:color="000000"/>
              <w:bottom w:val="single" w:sz="6" w:space="0" w:color="000000"/>
              <w:right w:val="single" w:sz="6" w:space="0" w:color="000000"/>
            </w:tcBorders>
            <w:shd w:val="clear" w:color="auto" w:fill="E6E6FA"/>
            <w:tcMar>
              <w:top w:w="105" w:type="dxa"/>
              <w:left w:w="105" w:type="dxa"/>
              <w:bottom w:w="105" w:type="dxa"/>
              <w:right w:w="105" w:type="dxa"/>
            </w:tcMar>
            <w:hideMark/>
          </w:tcPr>
          <w:p w:rsidR="00A517A5" w:rsidRDefault="00A517A5">
            <w:pPr>
              <w:rPr>
                <w:rFonts w:ascii="Times New Roman" w:hAnsi="Times New Roman" w:cs="Times New Roman"/>
                <w:sz w:val="18"/>
                <w:szCs w:val="18"/>
              </w:rPr>
            </w:pPr>
            <w:r>
              <w:rPr>
                <w:sz w:val="18"/>
                <w:szCs w:val="18"/>
              </w:rPr>
              <w:t>Gross Up Amount (Charged to Dept.)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A517A5" w:rsidRDefault="00A517A5">
            <w:pPr>
              <w:rPr>
                <w:sz w:val="18"/>
                <w:szCs w:val="18"/>
              </w:rPr>
            </w:pPr>
            <w:r>
              <w:rPr>
                <w:sz w:val="18"/>
                <w:szCs w:val="18"/>
              </w:rPr>
              <w:t>1,000 ÷ (1 - 30%) = 1,428.57</w:t>
            </w:r>
          </w:p>
        </w:tc>
      </w:tr>
      <w:tr w:rsidR="00A517A5" w:rsidTr="00A517A5">
        <w:tc>
          <w:tcPr>
            <w:tcW w:w="0" w:type="auto"/>
            <w:tcBorders>
              <w:top w:val="single" w:sz="6" w:space="0" w:color="000000"/>
              <w:left w:val="single" w:sz="6" w:space="0" w:color="000000"/>
              <w:bottom w:val="single" w:sz="6" w:space="0" w:color="000000"/>
              <w:right w:val="single" w:sz="6" w:space="0" w:color="000000"/>
            </w:tcBorders>
            <w:shd w:val="clear" w:color="auto" w:fill="E6E6FA"/>
            <w:tcMar>
              <w:top w:w="105" w:type="dxa"/>
              <w:left w:w="105" w:type="dxa"/>
              <w:bottom w:w="105" w:type="dxa"/>
              <w:right w:w="105" w:type="dxa"/>
            </w:tcMar>
            <w:hideMark/>
          </w:tcPr>
          <w:p w:rsidR="00A517A5" w:rsidRDefault="00A517A5">
            <w:pPr>
              <w:rPr>
                <w:sz w:val="18"/>
                <w:szCs w:val="18"/>
              </w:rPr>
            </w:pPr>
            <w:r>
              <w:rPr>
                <w:sz w:val="18"/>
                <w:szCs w:val="18"/>
              </w:rPr>
              <w:t>Tax Calculation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A517A5" w:rsidRDefault="00A517A5">
            <w:pPr>
              <w:rPr>
                <w:sz w:val="18"/>
                <w:szCs w:val="18"/>
              </w:rPr>
            </w:pPr>
            <w:r>
              <w:rPr>
                <w:sz w:val="18"/>
                <w:szCs w:val="18"/>
              </w:rPr>
              <w:t>1,428.57 × 30% = 428.57</w:t>
            </w:r>
          </w:p>
        </w:tc>
      </w:tr>
      <w:tr w:rsidR="00A517A5" w:rsidTr="00A517A5">
        <w:tc>
          <w:tcPr>
            <w:tcW w:w="0" w:type="auto"/>
            <w:tcBorders>
              <w:top w:val="single" w:sz="6" w:space="0" w:color="000000"/>
              <w:left w:val="single" w:sz="6" w:space="0" w:color="000000"/>
              <w:bottom w:val="single" w:sz="6" w:space="0" w:color="000000"/>
              <w:right w:val="single" w:sz="6" w:space="0" w:color="000000"/>
            </w:tcBorders>
            <w:shd w:val="clear" w:color="auto" w:fill="E6E6FA"/>
            <w:tcMar>
              <w:top w:w="105" w:type="dxa"/>
              <w:left w:w="105" w:type="dxa"/>
              <w:bottom w:w="105" w:type="dxa"/>
              <w:right w:w="105" w:type="dxa"/>
            </w:tcMar>
            <w:hideMark/>
          </w:tcPr>
          <w:p w:rsidR="00A517A5" w:rsidRDefault="00A517A5">
            <w:pPr>
              <w:rPr>
                <w:sz w:val="18"/>
                <w:szCs w:val="18"/>
              </w:rPr>
            </w:pPr>
            <w:r>
              <w:rPr>
                <w:sz w:val="18"/>
                <w:szCs w:val="18"/>
              </w:rPr>
              <w:t>Net Check Amount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A517A5" w:rsidRDefault="00A517A5">
            <w:pPr>
              <w:rPr>
                <w:sz w:val="18"/>
                <w:szCs w:val="18"/>
              </w:rPr>
            </w:pPr>
            <w:r>
              <w:rPr>
                <w:sz w:val="18"/>
                <w:szCs w:val="18"/>
              </w:rPr>
              <w:t>1,428.57 - 428.57 = 1,000</w:t>
            </w:r>
          </w:p>
        </w:tc>
      </w:tr>
    </w:tbl>
    <w:p w:rsidR="00A517A5" w:rsidRDefault="00A517A5" w:rsidP="00420957">
      <w:pPr>
        <w:shd w:val="clear" w:color="auto" w:fill="FFFFFF"/>
        <w:spacing w:after="0" w:line="240" w:lineRule="auto"/>
        <w:textAlignment w:val="baseline"/>
        <w:rPr>
          <w:rFonts w:ascii="Helvetica" w:eastAsia="Times New Roman" w:hAnsi="Helvetica" w:cs="Helvetica"/>
          <w:color w:val="424545"/>
          <w:sz w:val="18"/>
          <w:szCs w:val="18"/>
        </w:rPr>
      </w:pPr>
    </w:p>
    <w:p w:rsidR="00843F4F" w:rsidRPr="00843F4F" w:rsidRDefault="00843F4F" w:rsidP="00843F4F">
      <w:pPr>
        <w:shd w:val="clear" w:color="auto" w:fill="FFFFFF"/>
        <w:spacing w:after="150" w:line="240" w:lineRule="auto"/>
        <w:textAlignment w:val="baseline"/>
        <w:rPr>
          <w:rFonts w:ascii="Helvetica" w:eastAsia="Times New Roman" w:hAnsi="Helvetica" w:cs="Helvetica"/>
          <w:b/>
          <w:bCs/>
          <w:color w:val="7D110C"/>
          <w:sz w:val="23"/>
          <w:szCs w:val="23"/>
        </w:rPr>
      </w:pPr>
      <w:r w:rsidRPr="00843F4F">
        <w:rPr>
          <w:rFonts w:ascii="Helvetica" w:eastAsia="Times New Roman" w:hAnsi="Helvetica" w:cs="Helvetica"/>
          <w:b/>
          <w:bCs/>
          <w:color w:val="7D110C"/>
          <w:sz w:val="23"/>
          <w:szCs w:val="23"/>
        </w:rPr>
        <w:t>On-Line Use of Foreign Libraries</w:t>
      </w:r>
    </w:p>
    <w:p w:rsidR="00843F4F" w:rsidRDefault="00843F4F" w:rsidP="00843F4F">
      <w:pPr>
        <w:shd w:val="clear" w:color="auto" w:fill="FFFFFF"/>
        <w:spacing w:after="150" w:line="240" w:lineRule="auto"/>
        <w:textAlignment w:val="baseline"/>
        <w:rPr>
          <w:rFonts w:ascii="Helvetica" w:eastAsia="Times New Roman" w:hAnsi="Helvetica" w:cs="Helvetica"/>
          <w:color w:val="424545"/>
          <w:sz w:val="18"/>
          <w:szCs w:val="18"/>
        </w:rPr>
      </w:pPr>
      <w:r w:rsidRPr="00843F4F">
        <w:rPr>
          <w:rFonts w:ascii="Helvetica" w:eastAsia="Times New Roman" w:hAnsi="Helvetica" w:cs="Helvetica"/>
          <w:color w:val="424545"/>
          <w:sz w:val="18"/>
          <w:szCs w:val="18"/>
        </w:rPr>
        <w:t>When IU pays a fee to allow students or staff located in the US to access books or data in a foreign library the fee is considered a taxable royalty. The university is required to withhold tax at 30% unless the vendor claims tax treaty on their completed </w:t>
      </w:r>
      <w:hyperlink r:id="rId11" w:tooltip="Form W-8BEN" w:history="1">
        <w:r w:rsidRPr="00843F4F">
          <w:rPr>
            <w:rFonts w:ascii="Helvetica" w:eastAsia="Times New Roman" w:hAnsi="Helvetica" w:cs="Helvetica"/>
            <w:color w:val="7D110C"/>
            <w:sz w:val="18"/>
            <w:szCs w:val="18"/>
            <w:u w:val="single"/>
            <w:bdr w:val="none" w:sz="0" w:space="0" w:color="auto" w:frame="1"/>
          </w:rPr>
          <w:t>Form W-8</w:t>
        </w:r>
      </w:hyperlink>
      <w:r w:rsidRPr="00843F4F">
        <w:rPr>
          <w:rFonts w:ascii="Helvetica" w:eastAsia="Times New Roman" w:hAnsi="Helvetica" w:cs="Helvetica"/>
          <w:color w:val="424545"/>
          <w:sz w:val="18"/>
          <w:szCs w:val="18"/>
        </w:rPr>
        <w:t>.</w:t>
      </w:r>
    </w:p>
    <w:p w:rsidR="00843F4F" w:rsidRPr="00843F4F" w:rsidRDefault="00843F4F" w:rsidP="00843F4F">
      <w:pPr>
        <w:shd w:val="clear" w:color="auto" w:fill="FFFFFF"/>
        <w:spacing w:after="150" w:line="240" w:lineRule="auto"/>
        <w:textAlignment w:val="baseline"/>
        <w:rPr>
          <w:rFonts w:ascii="Helvetica" w:eastAsia="Times New Roman" w:hAnsi="Helvetica" w:cs="Helvetica"/>
          <w:color w:val="424545"/>
          <w:sz w:val="18"/>
          <w:szCs w:val="18"/>
        </w:rPr>
      </w:pPr>
    </w:p>
    <w:p w:rsidR="00843F4F" w:rsidRDefault="00843F4F" w:rsidP="00420957">
      <w:pPr>
        <w:shd w:val="clear" w:color="auto" w:fill="FFFFFF"/>
        <w:spacing w:after="0" w:line="240" w:lineRule="auto"/>
        <w:textAlignment w:val="baseline"/>
        <w:rPr>
          <w:rFonts w:ascii="Helvetica" w:hAnsi="Helvetica" w:cs="Helvetica"/>
          <w:b/>
          <w:bCs/>
          <w:color w:val="7D110C"/>
          <w:sz w:val="23"/>
          <w:szCs w:val="23"/>
          <w:shd w:val="clear" w:color="auto" w:fill="FFFFFF"/>
        </w:rPr>
      </w:pPr>
      <w:r>
        <w:rPr>
          <w:rFonts w:ascii="Helvetica" w:hAnsi="Helvetica" w:cs="Helvetica"/>
          <w:b/>
          <w:bCs/>
          <w:color w:val="7D110C"/>
          <w:sz w:val="23"/>
          <w:szCs w:val="23"/>
          <w:shd w:val="clear" w:color="auto" w:fill="FFFFFF"/>
        </w:rPr>
        <w:t>Royalty</w:t>
      </w:r>
    </w:p>
    <w:p w:rsidR="00843F4F" w:rsidRPr="00420957" w:rsidRDefault="00843F4F" w:rsidP="00420957">
      <w:pPr>
        <w:shd w:val="clear" w:color="auto" w:fill="FFFFFF"/>
        <w:spacing w:after="0" w:line="240" w:lineRule="auto"/>
        <w:textAlignment w:val="baseline"/>
        <w:rPr>
          <w:rFonts w:ascii="Helvetica" w:eastAsia="Times New Roman" w:hAnsi="Helvetica" w:cs="Helvetica"/>
          <w:color w:val="424545"/>
          <w:sz w:val="18"/>
          <w:szCs w:val="18"/>
        </w:rPr>
      </w:pPr>
    </w:p>
    <w:p w:rsidR="00DD2543" w:rsidRDefault="00843F4F">
      <w:pPr>
        <w:rPr>
          <w:rFonts w:ascii="Helvetica" w:hAnsi="Helvetica" w:cs="Helvetica"/>
          <w:color w:val="424545"/>
          <w:sz w:val="18"/>
          <w:szCs w:val="18"/>
          <w:bdr w:val="none" w:sz="0" w:space="0" w:color="auto" w:frame="1"/>
          <w:shd w:val="clear" w:color="auto" w:fill="FFFFFF"/>
        </w:rPr>
      </w:pPr>
      <w:r>
        <w:rPr>
          <w:rFonts w:ascii="Helvetica" w:hAnsi="Helvetica" w:cs="Helvetica"/>
          <w:color w:val="424545"/>
          <w:sz w:val="18"/>
          <w:szCs w:val="18"/>
          <w:shd w:val="clear" w:color="auto" w:fill="FFFFFF"/>
        </w:rPr>
        <w:t>Royalties from publishing a book, licensing a patent or other form of intellectual property are taxable to the recipient.  If the vendor is a foreign company or individual, the university must deduct 30% federal income tax unless tax treaty benefits are claimed on their </w:t>
      </w:r>
      <w:hyperlink r:id="rId12" w:tgtFrame="_blank" w:history="1">
        <w:r>
          <w:rPr>
            <w:rStyle w:val="Hyperlink"/>
            <w:rFonts w:ascii="Helvetica" w:hAnsi="Helvetica" w:cs="Helvetica"/>
            <w:color w:val="7D110C"/>
            <w:sz w:val="18"/>
            <w:szCs w:val="18"/>
            <w:bdr w:val="none" w:sz="0" w:space="0" w:color="auto" w:frame="1"/>
            <w:shd w:val="clear" w:color="auto" w:fill="FFFFFF"/>
          </w:rPr>
          <w:t>W-8</w:t>
        </w:r>
      </w:hyperlink>
      <w:r>
        <w:rPr>
          <w:rFonts w:ascii="Helvetica" w:hAnsi="Helvetica" w:cs="Helvetica"/>
          <w:color w:val="424545"/>
          <w:sz w:val="18"/>
          <w:szCs w:val="18"/>
          <w:shd w:val="clear" w:color="auto" w:fill="FFFFFF"/>
        </w:rPr>
        <w:t> form. </w:t>
      </w:r>
      <w:r>
        <w:rPr>
          <w:rFonts w:ascii="Helvetica" w:hAnsi="Helvetica" w:cs="Helvetica"/>
          <w:color w:val="424545"/>
          <w:sz w:val="18"/>
          <w:szCs w:val="18"/>
          <w:bdr w:val="none" w:sz="0" w:space="0" w:color="auto" w:frame="1"/>
          <w:shd w:val="clear" w:color="auto" w:fill="FFFFFF"/>
        </w:rPr>
        <w:t>Residents of certain countries may be entitled to reduced tax rates or exemption from tax under a tax treaty between their country and the U.S. Review the page below for more information on treaty benefits.</w:t>
      </w:r>
    </w:p>
    <w:p w:rsidR="00843F4F" w:rsidRDefault="00843F4F" w:rsidP="00843F4F">
      <w:pPr>
        <w:shd w:val="clear" w:color="auto" w:fill="FFFFFF"/>
        <w:textAlignment w:val="baseline"/>
        <w:rPr>
          <w:rFonts w:ascii="Helvetica" w:hAnsi="Helvetica" w:cs="Helvetica"/>
          <w:b/>
          <w:bCs/>
          <w:color w:val="7D110C"/>
          <w:sz w:val="23"/>
          <w:szCs w:val="23"/>
        </w:rPr>
      </w:pPr>
      <w:r>
        <w:rPr>
          <w:rFonts w:ascii="Helvetica" w:hAnsi="Helvetica" w:cs="Helvetica"/>
          <w:b/>
          <w:bCs/>
          <w:color w:val="7D110C"/>
          <w:sz w:val="23"/>
          <w:szCs w:val="23"/>
        </w:rPr>
        <w:t>Software &amp; Internet Access</w:t>
      </w:r>
    </w:p>
    <w:p w:rsidR="00843F4F" w:rsidRDefault="00843F4F" w:rsidP="00843F4F">
      <w:pPr>
        <w:pStyle w:val="Heading3"/>
        <w:shd w:val="clear" w:color="auto" w:fill="FFFFFF"/>
        <w:spacing w:before="150" w:after="120"/>
        <w:textAlignment w:val="baseline"/>
        <w:rPr>
          <w:rFonts w:ascii="Helvetica" w:hAnsi="Helvetica" w:cs="Helvetica"/>
          <w:b/>
          <w:bCs/>
          <w:color w:val="7D110C"/>
          <w:sz w:val="20"/>
          <w:szCs w:val="20"/>
        </w:rPr>
      </w:pPr>
      <w:r>
        <w:rPr>
          <w:rFonts w:ascii="Helvetica" w:hAnsi="Helvetica" w:cs="Helvetica"/>
          <w:color w:val="7D110C"/>
          <w:sz w:val="20"/>
          <w:szCs w:val="20"/>
        </w:rPr>
        <w:t>Payment is for the Right to Own</w:t>
      </w:r>
    </w:p>
    <w:p w:rsidR="00843F4F" w:rsidRDefault="00843F4F" w:rsidP="00843F4F">
      <w:pPr>
        <w:pStyle w:val="ListParagraph"/>
        <w:numPr>
          <w:ilvl w:val="0"/>
          <w:numId w:val="3"/>
        </w:numPr>
        <w:shd w:val="clear" w:color="auto" w:fill="FFFFFF"/>
        <w:spacing w:before="75" w:after="0" w:line="240" w:lineRule="auto"/>
        <w:textAlignment w:val="baseline"/>
        <w:rPr>
          <w:rFonts w:ascii="Helvetica" w:hAnsi="Helvetica" w:cs="Helvetica"/>
          <w:color w:val="424545"/>
          <w:sz w:val="18"/>
          <w:szCs w:val="18"/>
        </w:rPr>
      </w:pPr>
      <w:r w:rsidRPr="00843F4F">
        <w:rPr>
          <w:rFonts w:ascii="Helvetica" w:hAnsi="Helvetica" w:cs="Helvetica"/>
          <w:color w:val="424545"/>
          <w:sz w:val="18"/>
          <w:szCs w:val="18"/>
        </w:rPr>
        <w:t>Ownership is a purchase where rights and responsibility are transferred to IU indefinitely, without restrictions (e.g. “off-the-shelf” boxed software.)</w:t>
      </w:r>
    </w:p>
    <w:p w:rsidR="00843F4F" w:rsidRDefault="00843F4F" w:rsidP="00843F4F">
      <w:pPr>
        <w:pStyle w:val="ListParagraph"/>
        <w:shd w:val="clear" w:color="auto" w:fill="FFFFFF"/>
        <w:spacing w:before="75" w:after="0" w:line="240" w:lineRule="auto"/>
        <w:textAlignment w:val="baseline"/>
        <w:rPr>
          <w:rFonts w:ascii="Helvetica" w:hAnsi="Helvetica" w:cs="Helvetica"/>
          <w:color w:val="424545"/>
          <w:sz w:val="18"/>
          <w:szCs w:val="18"/>
        </w:rPr>
      </w:pPr>
    </w:p>
    <w:p w:rsidR="00843F4F" w:rsidRPr="00843F4F" w:rsidRDefault="00843F4F" w:rsidP="00843F4F">
      <w:pPr>
        <w:pStyle w:val="ListParagraph"/>
        <w:numPr>
          <w:ilvl w:val="0"/>
          <w:numId w:val="3"/>
        </w:numPr>
        <w:shd w:val="clear" w:color="auto" w:fill="FFFFFF"/>
        <w:spacing w:before="75" w:after="0" w:line="240" w:lineRule="auto"/>
        <w:textAlignment w:val="baseline"/>
        <w:rPr>
          <w:rFonts w:ascii="Helvetica" w:hAnsi="Helvetica" w:cs="Helvetica"/>
          <w:color w:val="424545"/>
          <w:sz w:val="18"/>
          <w:szCs w:val="18"/>
        </w:rPr>
      </w:pPr>
      <w:r w:rsidRPr="00843F4F">
        <w:rPr>
          <w:rFonts w:ascii="Helvetica" w:hAnsi="Helvetica" w:cs="Helvetica"/>
          <w:color w:val="424545"/>
          <w:sz w:val="18"/>
          <w:szCs w:val="18"/>
        </w:rPr>
        <w:t>Purchase is not taxed</w:t>
      </w:r>
    </w:p>
    <w:p w:rsidR="00843F4F" w:rsidRDefault="00843F4F" w:rsidP="00843F4F">
      <w:pPr>
        <w:pStyle w:val="Heading3"/>
        <w:shd w:val="clear" w:color="auto" w:fill="FFFFFF"/>
        <w:spacing w:before="150" w:after="120"/>
        <w:textAlignment w:val="baseline"/>
        <w:rPr>
          <w:rFonts w:ascii="Helvetica" w:hAnsi="Helvetica" w:cs="Helvetica"/>
          <w:color w:val="7D110C"/>
          <w:sz w:val="20"/>
          <w:szCs w:val="20"/>
        </w:rPr>
      </w:pPr>
      <w:r>
        <w:rPr>
          <w:rFonts w:ascii="Helvetica" w:hAnsi="Helvetica" w:cs="Helvetica"/>
          <w:color w:val="7D110C"/>
          <w:sz w:val="20"/>
          <w:szCs w:val="20"/>
        </w:rPr>
        <w:t>Payment is for the Right to Use or to Allow Access for a Limited Period of Time</w:t>
      </w:r>
    </w:p>
    <w:p w:rsidR="00843F4F" w:rsidRPr="00843F4F" w:rsidRDefault="00843F4F" w:rsidP="00843F4F">
      <w:pPr>
        <w:pStyle w:val="Heading3"/>
        <w:numPr>
          <w:ilvl w:val="0"/>
          <w:numId w:val="6"/>
        </w:numPr>
        <w:shd w:val="clear" w:color="auto" w:fill="FFFFFF"/>
        <w:spacing w:before="150" w:after="120"/>
        <w:textAlignment w:val="baseline"/>
        <w:rPr>
          <w:rFonts w:ascii="Helvetica" w:hAnsi="Helvetica" w:cs="Helvetica"/>
          <w:color w:val="7D110C"/>
          <w:sz w:val="20"/>
          <w:szCs w:val="20"/>
        </w:rPr>
      </w:pPr>
      <w:r>
        <w:rPr>
          <w:rFonts w:ascii="Helvetica" w:hAnsi="Helvetica" w:cs="Helvetica"/>
          <w:color w:val="424545"/>
          <w:sz w:val="18"/>
          <w:szCs w:val="18"/>
        </w:rPr>
        <w:t>The right to use means the vendor retains ownership.  IU is making a payment only for the right to use intellectual property.</w:t>
      </w:r>
    </w:p>
    <w:p w:rsidR="00843F4F" w:rsidRPr="00843F4F" w:rsidRDefault="00843F4F" w:rsidP="00843F4F">
      <w:pPr>
        <w:pStyle w:val="Heading3"/>
        <w:numPr>
          <w:ilvl w:val="0"/>
          <w:numId w:val="6"/>
        </w:numPr>
        <w:shd w:val="clear" w:color="auto" w:fill="FFFFFF"/>
        <w:spacing w:before="150" w:after="120"/>
        <w:textAlignment w:val="baseline"/>
        <w:rPr>
          <w:rFonts w:ascii="Helvetica" w:hAnsi="Helvetica" w:cs="Helvetica"/>
          <w:color w:val="7D110C"/>
          <w:sz w:val="20"/>
          <w:szCs w:val="20"/>
        </w:rPr>
      </w:pPr>
      <w:r w:rsidRPr="00843F4F">
        <w:rPr>
          <w:rFonts w:ascii="Helvetica" w:hAnsi="Helvetica" w:cs="Helvetica"/>
          <w:color w:val="424545"/>
          <w:sz w:val="18"/>
          <w:szCs w:val="18"/>
        </w:rPr>
        <w:t>If IU can access either the program or the data indefinitely then it will not be taxable.</w:t>
      </w:r>
    </w:p>
    <w:p w:rsidR="00843F4F" w:rsidRPr="00843F4F" w:rsidRDefault="00843F4F" w:rsidP="00843F4F">
      <w:pPr>
        <w:pStyle w:val="Heading3"/>
        <w:numPr>
          <w:ilvl w:val="0"/>
          <w:numId w:val="6"/>
        </w:numPr>
        <w:shd w:val="clear" w:color="auto" w:fill="FFFFFF"/>
        <w:spacing w:before="150" w:after="120"/>
        <w:textAlignment w:val="baseline"/>
        <w:rPr>
          <w:rFonts w:ascii="Helvetica" w:hAnsi="Helvetica" w:cs="Helvetica"/>
          <w:color w:val="7D110C"/>
          <w:sz w:val="20"/>
          <w:szCs w:val="20"/>
        </w:rPr>
      </w:pPr>
      <w:r w:rsidRPr="00843F4F">
        <w:rPr>
          <w:rFonts w:ascii="Helvetica" w:hAnsi="Helvetica" w:cs="Helvetica"/>
          <w:color w:val="424545"/>
          <w:sz w:val="18"/>
          <w:szCs w:val="18"/>
        </w:rPr>
        <w:t>If IU has access for a limited time then the payment will be taxable as a royalty at 30% unless the vendor claims a tax treaty on their completed </w:t>
      </w:r>
      <w:hyperlink r:id="rId13" w:tooltip="Form W-8BEN" w:history="1">
        <w:r w:rsidRPr="00843F4F">
          <w:rPr>
            <w:rStyle w:val="Hyperlink"/>
            <w:rFonts w:ascii="Helvetica" w:hAnsi="Helvetica" w:cs="Helvetica"/>
            <w:sz w:val="18"/>
            <w:szCs w:val="18"/>
            <w:bdr w:val="none" w:sz="0" w:space="0" w:color="auto" w:frame="1"/>
          </w:rPr>
          <w:t>Form W-8</w:t>
        </w:r>
        <w:r w:rsidRPr="00843F4F">
          <w:rPr>
            <w:rStyle w:val="Hyperlink"/>
            <w:rFonts w:ascii="Helvetica" w:hAnsi="Helvetica" w:cs="Helvetica"/>
            <w:sz w:val="18"/>
            <w:szCs w:val="18"/>
          </w:rPr>
          <w:t>.</w:t>
        </w:r>
      </w:hyperlink>
      <w:bookmarkStart w:id="0" w:name="_GoBack"/>
      <w:bookmarkEnd w:id="0"/>
    </w:p>
    <w:p w:rsidR="00843F4F" w:rsidRDefault="00843F4F"/>
    <w:sectPr w:rsidR="00843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7B7C"/>
    <w:multiLevelType w:val="multilevel"/>
    <w:tmpl w:val="1518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B2A59"/>
    <w:multiLevelType w:val="multilevel"/>
    <w:tmpl w:val="91E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823CD"/>
    <w:multiLevelType w:val="multilevel"/>
    <w:tmpl w:val="357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BD5A4C"/>
    <w:multiLevelType w:val="multilevel"/>
    <w:tmpl w:val="C7E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16440"/>
    <w:multiLevelType w:val="hybridMultilevel"/>
    <w:tmpl w:val="E6D87796"/>
    <w:lvl w:ilvl="0" w:tplc="4CC0E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2672A9"/>
    <w:multiLevelType w:val="hybridMultilevel"/>
    <w:tmpl w:val="CEA0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57"/>
    <w:rsid w:val="00420957"/>
    <w:rsid w:val="00843F4F"/>
    <w:rsid w:val="00A517A5"/>
    <w:rsid w:val="00DD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0212"/>
  <w15:chartTrackingRefBased/>
  <w15:docId w15:val="{0958F2AC-5868-4445-9CFE-2D5BF60A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09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09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51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09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0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957"/>
    <w:rPr>
      <w:b/>
      <w:bCs/>
    </w:rPr>
  </w:style>
  <w:style w:type="character" w:styleId="Hyperlink">
    <w:name w:val="Hyperlink"/>
    <w:basedOn w:val="DefaultParagraphFont"/>
    <w:uiPriority w:val="99"/>
    <w:unhideWhenUsed/>
    <w:rsid w:val="00420957"/>
    <w:rPr>
      <w:color w:val="0000FF"/>
      <w:u w:val="single"/>
    </w:rPr>
  </w:style>
  <w:style w:type="character" w:customStyle="1" w:styleId="Heading3Char">
    <w:name w:val="Heading 3 Char"/>
    <w:basedOn w:val="DefaultParagraphFont"/>
    <w:link w:val="Heading3"/>
    <w:uiPriority w:val="9"/>
    <w:rsid w:val="00A517A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51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3044">
      <w:bodyDiv w:val="1"/>
      <w:marLeft w:val="0"/>
      <w:marRight w:val="0"/>
      <w:marTop w:val="0"/>
      <w:marBottom w:val="0"/>
      <w:divBdr>
        <w:top w:val="none" w:sz="0" w:space="0" w:color="auto"/>
        <w:left w:val="none" w:sz="0" w:space="0" w:color="auto"/>
        <w:bottom w:val="none" w:sz="0" w:space="0" w:color="auto"/>
        <w:right w:val="none" w:sz="0" w:space="0" w:color="auto"/>
      </w:divBdr>
      <w:divsChild>
        <w:div w:id="1054934026">
          <w:marLeft w:val="0"/>
          <w:marRight w:val="0"/>
          <w:marTop w:val="0"/>
          <w:marBottom w:val="150"/>
          <w:divBdr>
            <w:top w:val="none" w:sz="0" w:space="0" w:color="auto"/>
            <w:left w:val="none" w:sz="0" w:space="0" w:color="auto"/>
            <w:bottom w:val="none" w:sz="0" w:space="0" w:color="auto"/>
            <w:right w:val="none" w:sz="0" w:space="0" w:color="auto"/>
          </w:divBdr>
        </w:div>
        <w:div w:id="1960142912">
          <w:marLeft w:val="300"/>
          <w:marRight w:val="0"/>
          <w:marTop w:val="150"/>
          <w:marBottom w:val="150"/>
          <w:divBdr>
            <w:top w:val="none" w:sz="0" w:space="0" w:color="auto"/>
            <w:left w:val="none" w:sz="0" w:space="0" w:color="auto"/>
            <w:bottom w:val="none" w:sz="0" w:space="0" w:color="auto"/>
            <w:right w:val="none" w:sz="0" w:space="0" w:color="auto"/>
          </w:divBdr>
        </w:div>
      </w:divsChild>
    </w:div>
    <w:div w:id="1363900899">
      <w:bodyDiv w:val="1"/>
      <w:marLeft w:val="0"/>
      <w:marRight w:val="0"/>
      <w:marTop w:val="0"/>
      <w:marBottom w:val="0"/>
      <w:divBdr>
        <w:top w:val="none" w:sz="0" w:space="0" w:color="auto"/>
        <w:left w:val="none" w:sz="0" w:space="0" w:color="auto"/>
        <w:bottom w:val="none" w:sz="0" w:space="0" w:color="auto"/>
        <w:right w:val="none" w:sz="0" w:space="0" w:color="auto"/>
      </w:divBdr>
    </w:div>
    <w:div w:id="1450705523">
      <w:bodyDiv w:val="1"/>
      <w:marLeft w:val="0"/>
      <w:marRight w:val="0"/>
      <w:marTop w:val="0"/>
      <w:marBottom w:val="0"/>
      <w:divBdr>
        <w:top w:val="none" w:sz="0" w:space="0" w:color="auto"/>
        <w:left w:val="none" w:sz="0" w:space="0" w:color="auto"/>
        <w:bottom w:val="none" w:sz="0" w:space="0" w:color="auto"/>
        <w:right w:val="none" w:sz="0" w:space="0" w:color="auto"/>
      </w:divBdr>
      <w:divsChild>
        <w:div w:id="1930457347">
          <w:marLeft w:val="0"/>
          <w:marRight w:val="0"/>
          <w:marTop w:val="0"/>
          <w:marBottom w:val="150"/>
          <w:divBdr>
            <w:top w:val="none" w:sz="0" w:space="0" w:color="auto"/>
            <w:left w:val="none" w:sz="0" w:space="0" w:color="auto"/>
            <w:bottom w:val="none" w:sz="0" w:space="0" w:color="auto"/>
            <w:right w:val="none" w:sz="0" w:space="0" w:color="auto"/>
          </w:divBdr>
        </w:div>
        <w:div w:id="625895517">
          <w:marLeft w:val="300"/>
          <w:marRight w:val="0"/>
          <w:marTop w:val="150"/>
          <w:marBottom w:val="150"/>
          <w:divBdr>
            <w:top w:val="none" w:sz="0" w:space="0" w:color="auto"/>
            <w:left w:val="none" w:sz="0" w:space="0" w:color="auto"/>
            <w:bottom w:val="none" w:sz="0" w:space="0" w:color="auto"/>
            <w:right w:val="none" w:sz="0" w:space="0" w:color="auto"/>
          </w:divBdr>
        </w:div>
      </w:divsChild>
    </w:div>
    <w:div w:id="2009286426">
      <w:bodyDiv w:val="1"/>
      <w:marLeft w:val="0"/>
      <w:marRight w:val="0"/>
      <w:marTop w:val="0"/>
      <w:marBottom w:val="0"/>
      <w:divBdr>
        <w:top w:val="none" w:sz="0" w:space="0" w:color="auto"/>
        <w:left w:val="none" w:sz="0" w:space="0" w:color="auto"/>
        <w:bottom w:val="none" w:sz="0" w:space="0" w:color="auto"/>
        <w:right w:val="none" w:sz="0" w:space="0" w:color="auto"/>
      </w:divBdr>
      <w:divsChild>
        <w:div w:id="1035010142">
          <w:marLeft w:val="0"/>
          <w:marRight w:val="0"/>
          <w:marTop w:val="0"/>
          <w:marBottom w:val="150"/>
          <w:divBdr>
            <w:top w:val="none" w:sz="0" w:space="0" w:color="auto"/>
            <w:left w:val="none" w:sz="0" w:space="0" w:color="auto"/>
            <w:bottom w:val="none" w:sz="0" w:space="0" w:color="auto"/>
            <w:right w:val="none" w:sz="0" w:space="0" w:color="auto"/>
          </w:divBdr>
        </w:div>
        <w:div w:id="1594557043">
          <w:marLeft w:val="30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oller.iu.edu/compliance/form-library" TargetMode="External"/><Relationship Id="rId13" Type="http://schemas.openxmlformats.org/officeDocument/2006/relationships/hyperlink" Target="https://purchasing.iu.edu/buying/suppliers.php" TargetMode="External"/><Relationship Id="rId3" Type="http://schemas.openxmlformats.org/officeDocument/2006/relationships/settings" Target="settings.xml"/><Relationship Id="rId7" Type="http://schemas.openxmlformats.org/officeDocument/2006/relationships/hyperlink" Target="https://purchasing.iu.edu/buying/suppliers.php" TargetMode="External"/><Relationship Id="rId12" Type="http://schemas.openxmlformats.org/officeDocument/2006/relationships/hyperlink" Target="https://purchasing.iu.edu/buying/supplier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urchasing.iu.edu/buying/suppliers.php" TargetMode="External"/><Relationship Id="rId5" Type="http://schemas.openxmlformats.org/officeDocument/2006/relationships/hyperlink" Target="https://controller.iu.edu/cgi-bin/cfl/dl/202007231046078488031485" TargetMode="External"/><Relationship Id="rId15" Type="http://schemas.openxmlformats.org/officeDocument/2006/relationships/theme" Target="theme/theme1.xml"/><Relationship Id="rId10" Type="http://schemas.openxmlformats.org/officeDocument/2006/relationships/hyperlink" Target="https://training.iu.edu/index.shtml" TargetMode="External"/><Relationship Id="rId4" Type="http://schemas.openxmlformats.org/officeDocument/2006/relationships/webSettings" Target="webSettings.xml"/><Relationship Id="rId9" Type="http://schemas.openxmlformats.org/officeDocument/2006/relationships/hyperlink" Target="https://ois.iu.edu/visas/faculty-visa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2020-10-06T19:55:00Z</dcterms:created>
  <dcterms:modified xsi:type="dcterms:W3CDTF">2020-10-06T20:45:00Z</dcterms:modified>
</cp:coreProperties>
</file>