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35" w:rsidRPr="00086835" w:rsidRDefault="00086835" w:rsidP="00086835">
      <w:pPr>
        <w:shd w:val="clear" w:color="auto" w:fill="FFFFFF"/>
        <w:spacing w:before="135" w:after="12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7D110C"/>
          <w:kern w:val="36"/>
          <w:sz w:val="27"/>
          <w:szCs w:val="27"/>
        </w:rPr>
      </w:pPr>
      <w:r w:rsidRPr="00086835">
        <w:rPr>
          <w:rFonts w:ascii="Helvetica" w:eastAsia="Times New Roman" w:hAnsi="Helvetica" w:cs="Helvetica"/>
          <w:b/>
          <w:bCs/>
          <w:color w:val="7D110C"/>
          <w:kern w:val="36"/>
          <w:sz w:val="27"/>
          <w:szCs w:val="27"/>
        </w:rPr>
        <w:t>Collecting Indiana Sales or Use Tax on Sales</w:t>
      </w:r>
    </w:p>
    <w:p w:rsidR="00086835" w:rsidRPr="00086835" w:rsidRDefault="00115732" w:rsidP="0008683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0.5pt" o:hrstd="t" o:hrnoshade="t" o:hr="t" fillcolor="#424545" stroked="f"/>
        </w:pict>
      </w:r>
    </w:p>
    <w:p w:rsid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Sales of tangible personal property as part of a proprietary activity by Indiana University are subject to sales tax. A few examples specific to IU are Catering, Hotel and Conference Center, Golf </w:t>
      </w:r>
      <w:r w:rsidRPr="00086835">
        <w:rPr>
          <w:rFonts w:ascii="Helvetica" w:eastAsia="Times New Roman" w:hAnsi="Helvetica" w:cs="Helvetica"/>
          <w:color w:val="424545"/>
          <w:sz w:val="18"/>
          <w:szCs w:val="18"/>
          <w:bdr w:val="none" w:sz="0" w:space="0" w:color="auto" w:frame="1"/>
        </w:rPr>
        <w:t>Course</w:t>
      </w: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 and any activity customarily associated with being competitive with private enterprise. </w:t>
      </w: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The term </w:t>
      </w:r>
      <w:r w:rsidRPr="00086835">
        <w:rPr>
          <w:rFonts w:ascii="Helvetica" w:eastAsia="Times New Roman" w:hAnsi="Helvetica" w:cs="Helvetica"/>
          <w:b/>
          <w:bCs/>
          <w:color w:val="424545"/>
          <w:sz w:val="18"/>
          <w:szCs w:val="18"/>
          <w:bdr w:val="none" w:sz="0" w:space="0" w:color="auto" w:frame="1"/>
        </w:rPr>
        <w:t>"tangible personal property"</w:t>
      </w: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 means personal property that: 1) can be seen, weighed, measure</w:t>
      </w:r>
      <w:r w:rsidR="00115732">
        <w:rPr>
          <w:rFonts w:ascii="Helvetica" w:eastAsia="Times New Roman" w:hAnsi="Helvetica" w:cs="Helvetica"/>
          <w:color w:val="424545"/>
          <w:sz w:val="18"/>
          <w:szCs w:val="18"/>
        </w:rPr>
        <w:t>d, felt, or touched: or 2) is in</w:t>
      </w: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 xml:space="preserve"> any other manner perceptible to the senses.  The term includes electricity, water, gas, stream, and prewritten computer software.</w:t>
      </w: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Proprietary activities, as defined by the state of Indiana, are illustrated as:</w:t>
      </w: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noProof/>
        </w:rPr>
        <w:drawing>
          <wp:inline distT="0" distB="0" distL="0" distR="0">
            <wp:extent cx="5981700" cy="1517650"/>
            <wp:effectExtent l="0" t="0" r="0" b="6350"/>
            <wp:docPr id="1" name="Picture 1" descr="C:\Users\atseifer\AppData\Local\Microsoft\Windows\INetCache\Content.MSO\7626A2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seifer\AppData\Local\Microsoft\Windows\INetCache\Content.MSO\7626A25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424545"/>
          <w:sz w:val="18"/>
          <w:szCs w:val="18"/>
          <w:bdr w:val="none" w:sz="0" w:space="0" w:color="auto" w:frame="1"/>
        </w:rPr>
      </w:pPr>
    </w:p>
    <w:p w:rsid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b/>
          <w:bCs/>
          <w:color w:val="424545"/>
          <w:sz w:val="18"/>
          <w:szCs w:val="18"/>
          <w:bdr w:val="none" w:sz="0" w:space="0" w:color="auto" w:frame="1"/>
        </w:rPr>
        <w:t>Consult the </w:t>
      </w:r>
      <w:hyperlink r:id="rId6" w:tooltip="Collection Matrix" w:history="1">
        <w:r w:rsidRPr="00086835">
          <w:rPr>
            <w:rStyle w:val="Hyperlink"/>
            <w:rFonts w:ascii="Helvetica" w:eastAsia="Times New Roman" w:hAnsi="Helvetica" w:cs="Helvetica"/>
            <w:b/>
            <w:bCs/>
            <w:sz w:val="18"/>
            <w:szCs w:val="18"/>
            <w:bdr w:val="none" w:sz="0" w:space="0" w:color="auto" w:frame="1"/>
          </w:rPr>
          <w:t>Collectio</w:t>
        </w:r>
        <w:r w:rsidRPr="00086835">
          <w:rPr>
            <w:rStyle w:val="Hyperlink"/>
            <w:rFonts w:ascii="Helvetica" w:eastAsia="Times New Roman" w:hAnsi="Helvetica" w:cs="Helvetica"/>
            <w:b/>
            <w:bCs/>
            <w:sz w:val="18"/>
            <w:szCs w:val="18"/>
            <w:bdr w:val="none" w:sz="0" w:space="0" w:color="auto" w:frame="1"/>
          </w:rPr>
          <w:t>n</w:t>
        </w:r>
        <w:r w:rsidRPr="00086835">
          <w:rPr>
            <w:rStyle w:val="Hyperlink"/>
            <w:rFonts w:ascii="Helvetica" w:eastAsia="Times New Roman" w:hAnsi="Helvetica" w:cs="Helvetica"/>
            <w:b/>
            <w:bCs/>
            <w:sz w:val="18"/>
            <w:szCs w:val="18"/>
            <w:bdr w:val="none" w:sz="0" w:space="0" w:color="auto" w:frame="1"/>
          </w:rPr>
          <w:t xml:space="preserve"> Matrix </w:t>
        </w:r>
      </w:hyperlink>
      <w:r w:rsidRPr="00086835">
        <w:rPr>
          <w:rFonts w:ascii="Helvetica" w:eastAsia="Times New Roman" w:hAnsi="Helvetica" w:cs="Helvetica"/>
          <w:b/>
          <w:bCs/>
          <w:color w:val="424545"/>
          <w:sz w:val="18"/>
          <w:szCs w:val="18"/>
          <w:bdr w:val="none" w:sz="0" w:space="0" w:color="auto" w:frame="1"/>
        </w:rPr>
        <w:t>for specific guidance on what sales are exempt or taxable.</w:t>
      </w: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</w:p>
    <w:p w:rsidR="00086835" w:rsidRPr="00086835" w:rsidRDefault="00086835" w:rsidP="00086835">
      <w:pPr>
        <w:shd w:val="clear" w:color="auto" w:fill="FFFFFF"/>
        <w:spacing w:before="150" w:after="12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7D110C"/>
          <w:sz w:val="23"/>
          <w:szCs w:val="23"/>
        </w:rPr>
      </w:pPr>
      <w:r w:rsidRPr="00086835">
        <w:rPr>
          <w:rFonts w:ascii="Helvetica" w:eastAsia="Times New Roman" w:hAnsi="Helvetica" w:cs="Helvetica"/>
          <w:b/>
          <w:bCs/>
          <w:color w:val="7D110C"/>
          <w:sz w:val="23"/>
          <w:szCs w:val="23"/>
        </w:rPr>
        <w:t>Exempt Sales</w:t>
      </w: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Indiana University is excused from charg</w:t>
      </w:r>
      <w:bookmarkStart w:id="0" w:name="_GoBack"/>
      <w:bookmarkEnd w:id="0"/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ing tax on sales involving the educational mission for which the institution is granted exemption. The mission falls into these primary categories:</w:t>
      </w:r>
    </w:p>
    <w:p w:rsidR="00086835" w:rsidRPr="00086835" w:rsidRDefault="00086835" w:rsidP="00086835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Teaching and instruction</w:t>
      </w:r>
    </w:p>
    <w:p w:rsidR="00086835" w:rsidRPr="00086835" w:rsidRDefault="00086835" w:rsidP="00086835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Research</w:t>
      </w:r>
    </w:p>
    <w:p w:rsidR="00086835" w:rsidRPr="00086835" w:rsidRDefault="00086835" w:rsidP="00086835">
      <w:pPr>
        <w:numPr>
          <w:ilvl w:val="0"/>
          <w:numId w:val="1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Public service</w:t>
      </w:r>
    </w:p>
    <w:p w:rsidR="00086835" w:rsidRPr="00086835" w:rsidRDefault="00086835" w:rsidP="0008683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Some transactions exempt from the sales and use tax are:</w:t>
      </w:r>
    </w:p>
    <w:p w:rsidR="00086835" w:rsidRPr="00086835" w:rsidRDefault="00086835" w:rsidP="00086835">
      <w:pPr>
        <w:numPr>
          <w:ilvl w:val="0"/>
          <w:numId w:val="2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Sales for resale</w:t>
      </w:r>
    </w:p>
    <w:p w:rsidR="00086835" w:rsidRPr="00086835" w:rsidRDefault="00086835" w:rsidP="00086835">
      <w:pPr>
        <w:numPr>
          <w:ilvl w:val="0"/>
          <w:numId w:val="2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Sales or rentals outside the State of Indiana</w:t>
      </w:r>
    </w:p>
    <w:p w:rsidR="00086835" w:rsidRPr="00086835" w:rsidRDefault="00086835" w:rsidP="00086835">
      <w:pPr>
        <w:numPr>
          <w:ilvl w:val="0"/>
          <w:numId w:val="2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Sales or rentals to the federal government or their agencies</w:t>
      </w:r>
    </w:p>
    <w:p w:rsidR="00086835" w:rsidRPr="00086835" w:rsidRDefault="00086835" w:rsidP="000868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Sales or rentals to a non-profit organization providing an Indiana Form ST-105 (</w:t>
      </w:r>
      <w:r w:rsidRPr="00086835">
        <w:rPr>
          <w:rFonts w:ascii="Helvetica" w:eastAsia="Times New Roman" w:hAnsi="Helvetica" w:cs="Helvetica"/>
          <w:b/>
          <w:bCs/>
          <w:color w:val="424545"/>
          <w:sz w:val="18"/>
          <w:szCs w:val="18"/>
          <w:bdr w:val="none" w:sz="0" w:space="0" w:color="auto" w:frame="1"/>
        </w:rPr>
        <w:t>note:</w:t>
      </w: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 Department must collect ST-105 and keep form on file for 3 calendar years.)</w:t>
      </w:r>
    </w:p>
    <w:p w:rsidR="00086835" w:rsidRPr="00086835" w:rsidRDefault="00086835" w:rsidP="00086835">
      <w:pPr>
        <w:numPr>
          <w:ilvl w:val="0"/>
          <w:numId w:val="2"/>
        </w:numPr>
        <w:shd w:val="clear" w:color="auto" w:fill="FFFFFF"/>
        <w:spacing w:before="75" w:after="0" w:line="240" w:lineRule="auto"/>
        <w:ind w:left="0"/>
        <w:textAlignment w:val="baseline"/>
        <w:rPr>
          <w:rFonts w:ascii="Helvetica" w:eastAsia="Times New Roman" w:hAnsi="Helvetica" w:cs="Helvetica"/>
          <w:color w:val="424545"/>
          <w:sz w:val="18"/>
          <w:szCs w:val="18"/>
        </w:rPr>
      </w:pPr>
      <w:r w:rsidRPr="00086835">
        <w:rPr>
          <w:rFonts w:ascii="Helvetica" w:eastAsia="Times New Roman" w:hAnsi="Helvetica" w:cs="Helvetica"/>
          <w:color w:val="424545"/>
          <w:sz w:val="18"/>
          <w:szCs w:val="18"/>
        </w:rPr>
        <w:t>Sales of food by IU to an IU enrolled student</w:t>
      </w:r>
    </w:p>
    <w:p w:rsidR="0052647E" w:rsidRDefault="0052647E"/>
    <w:sectPr w:rsidR="0052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6EBF"/>
    <w:multiLevelType w:val="multilevel"/>
    <w:tmpl w:val="B8E8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404F1"/>
    <w:multiLevelType w:val="multilevel"/>
    <w:tmpl w:val="6B5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35"/>
    <w:rsid w:val="00086835"/>
    <w:rsid w:val="00115732"/>
    <w:rsid w:val="0052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C4220F"/>
  <w15:chartTrackingRefBased/>
  <w15:docId w15:val="{71EC7AAB-E389-4E20-86EB-5EBEFFED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8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868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8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68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6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6835"/>
    <w:rPr>
      <w:b/>
      <w:bCs/>
    </w:rPr>
  </w:style>
  <w:style w:type="character" w:styleId="Hyperlink">
    <w:name w:val="Hyperlink"/>
    <w:basedOn w:val="DefaultParagraphFont"/>
    <w:uiPriority w:val="99"/>
    <w:unhideWhenUsed/>
    <w:rsid w:val="000868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57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oller.iu.edu/cgi-bin/cfl/dl/20201008154111843067273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Seifert, Andrea Tabler</dc:creator>
  <cp:keywords/>
  <dc:description/>
  <cp:lastModifiedBy>McAlister, Troy Michael</cp:lastModifiedBy>
  <cp:revision>2</cp:revision>
  <dcterms:created xsi:type="dcterms:W3CDTF">2021-10-26T12:31:00Z</dcterms:created>
  <dcterms:modified xsi:type="dcterms:W3CDTF">2021-10-26T12:31:00Z</dcterms:modified>
</cp:coreProperties>
</file>