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0D9" w:rsidRPr="008200D9" w:rsidRDefault="008200D9" w:rsidP="008200D9">
      <w:pPr>
        <w:shd w:val="clear" w:color="auto" w:fill="FFFFFF"/>
        <w:spacing w:after="0" w:line="240" w:lineRule="auto"/>
        <w:textAlignment w:val="baseline"/>
        <w:outlineLvl w:val="0"/>
        <w:rPr>
          <w:rFonts w:ascii="Helvetica" w:eastAsia="Times New Roman" w:hAnsi="Helvetica" w:cs="Helvetica"/>
          <w:b/>
          <w:bCs/>
          <w:color w:val="7D110C"/>
          <w:kern w:val="36"/>
          <w:sz w:val="27"/>
          <w:szCs w:val="27"/>
        </w:rPr>
      </w:pPr>
      <w:r w:rsidRPr="008200D9">
        <w:rPr>
          <w:rFonts w:ascii="Helvetica" w:eastAsia="Times New Roman" w:hAnsi="Helvetica" w:cs="Helvetica"/>
          <w:b/>
          <w:bCs/>
          <w:color w:val="7D110C"/>
          <w:kern w:val="36"/>
          <w:sz w:val="27"/>
          <w:szCs w:val="27"/>
          <w:bdr w:val="none" w:sz="0" w:space="0" w:color="auto" w:frame="1"/>
        </w:rPr>
        <w:t>ACCOUNTABLE PLAN REIMBURSEMENTS</w:t>
      </w:r>
    </w:p>
    <w:p w:rsidR="008200D9" w:rsidRPr="008200D9" w:rsidRDefault="008200D9" w:rsidP="008200D9">
      <w:pPr>
        <w:spacing w:before="150" w:after="150" w:line="240" w:lineRule="auto"/>
        <w:rPr>
          <w:rFonts w:ascii="Times New Roman" w:eastAsia="Times New Roman" w:hAnsi="Times New Roman" w:cs="Times New Roman"/>
          <w:sz w:val="24"/>
          <w:szCs w:val="24"/>
        </w:rPr>
      </w:pPr>
      <w:r w:rsidRPr="008200D9">
        <w:rPr>
          <w:rFonts w:ascii="Times New Roman" w:eastAsia="Times New Roman" w:hAnsi="Times New Roman" w:cs="Times New Roman"/>
          <w:sz w:val="24"/>
          <w:szCs w:val="24"/>
        </w:rPr>
        <w:pict>
          <v:rect id="_x0000_i1025" style="width:0;height:10.5pt" o:hrstd="t" o:hrnoshade="t" o:hr="t" fillcolor="#424545" stroked="f"/>
        </w:pict>
      </w:r>
    </w:p>
    <w:p w:rsidR="008200D9" w:rsidRPr="008200D9" w:rsidRDefault="008200D9" w:rsidP="008200D9">
      <w:pPr>
        <w:shd w:val="clear" w:color="auto" w:fill="FFFFFF"/>
        <w:spacing w:after="0" w:line="240" w:lineRule="auto"/>
        <w:textAlignment w:val="baseline"/>
        <w:rPr>
          <w:rFonts w:ascii="Helvetica" w:eastAsia="Times New Roman" w:hAnsi="Helvetica" w:cs="Helvetica"/>
          <w:color w:val="424545"/>
          <w:sz w:val="18"/>
          <w:szCs w:val="18"/>
        </w:rPr>
      </w:pPr>
      <w:r w:rsidRPr="008200D9">
        <w:rPr>
          <w:rFonts w:ascii="Helvetica" w:eastAsia="Times New Roman" w:hAnsi="Helvetica" w:cs="Helvetica"/>
          <w:b/>
          <w:bCs/>
          <w:color w:val="424545"/>
          <w:sz w:val="18"/>
          <w:szCs w:val="18"/>
          <w:bdr w:val="none" w:sz="0" w:space="0" w:color="auto" w:frame="1"/>
        </w:rPr>
        <w:t>IRS Accountable Plan Guidelines</w:t>
      </w:r>
    </w:p>
    <w:p w:rsidR="008200D9" w:rsidRPr="008200D9" w:rsidRDefault="008200D9" w:rsidP="008200D9">
      <w:pPr>
        <w:shd w:val="clear" w:color="auto" w:fill="FFFFFF"/>
        <w:spacing w:after="0" w:line="240" w:lineRule="auto"/>
        <w:textAlignment w:val="baseline"/>
        <w:rPr>
          <w:rFonts w:ascii="Helvetica" w:eastAsia="Times New Roman" w:hAnsi="Helvetica" w:cs="Helvetica"/>
          <w:color w:val="424545"/>
          <w:sz w:val="18"/>
          <w:szCs w:val="18"/>
        </w:rPr>
      </w:pPr>
      <w:r w:rsidRPr="008200D9">
        <w:rPr>
          <w:rFonts w:ascii="Helvetica" w:eastAsia="Times New Roman" w:hAnsi="Helvetica" w:cs="Helvetica"/>
          <w:color w:val="424545"/>
          <w:sz w:val="18"/>
          <w:szCs w:val="18"/>
        </w:rPr>
        <w:t>Indiana University reimburses individuals under an accountable plan, as defined by the Internal Revenue Service (IRS), for ordinary and necessary business expenses incurred. These include approved payments for travel, moving expenses and allowable out-of-pocket expenses related to official university business, including those expenditures from faculty research accounts. In order to qualify under the accountable plan, payments for expenses must meet the three requirements of IRS Regulation §1.62-2 - see below:</w:t>
      </w:r>
    </w:p>
    <w:p w:rsidR="008200D9" w:rsidRDefault="008200D9" w:rsidP="008200D9">
      <w:pPr>
        <w:shd w:val="clear" w:color="auto" w:fill="FFFFFF"/>
        <w:spacing w:after="0" w:line="240" w:lineRule="auto"/>
        <w:textAlignment w:val="baseline"/>
        <w:rPr>
          <w:rFonts w:ascii="Helvetica" w:eastAsia="Times New Roman" w:hAnsi="Helvetica" w:cs="Helvetica"/>
          <w:color w:val="424545"/>
          <w:sz w:val="18"/>
          <w:szCs w:val="18"/>
          <w:u w:val="single"/>
          <w:bdr w:val="none" w:sz="0" w:space="0" w:color="auto" w:frame="1"/>
        </w:rPr>
      </w:pPr>
    </w:p>
    <w:p w:rsidR="008200D9" w:rsidRDefault="008200D9" w:rsidP="008200D9">
      <w:pPr>
        <w:pStyle w:val="ListParagraph"/>
        <w:numPr>
          <w:ilvl w:val="0"/>
          <w:numId w:val="2"/>
        </w:numPr>
        <w:shd w:val="clear" w:color="auto" w:fill="FFFFFF"/>
        <w:spacing w:after="0" w:line="240" w:lineRule="auto"/>
        <w:textAlignment w:val="baseline"/>
        <w:rPr>
          <w:rFonts w:ascii="Helvetica" w:eastAsia="Times New Roman" w:hAnsi="Helvetica" w:cs="Helvetica"/>
          <w:color w:val="424545"/>
          <w:sz w:val="18"/>
          <w:szCs w:val="18"/>
        </w:rPr>
      </w:pPr>
      <w:r w:rsidRPr="008200D9">
        <w:rPr>
          <w:rFonts w:ascii="Helvetica" w:eastAsia="Times New Roman" w:hAnsi="Helvetica" w:cs="Helvetica"/>
          <w:color w:val="424545"/>
          <w:sz w:val="18"/>
          <w:szCs w:val="18"/>
          <w:u w:val="single"/>
          <w:bdr w:val="none" w:sz="0" w:space="0" w:color="auto" w:frame="1"/>
        </w:rPr>
        <w:t>Business Connection Requirement: </w:t>
      </w:r>
      <w:r w:rsidRPr="008200D9">
        <w:rPr>
          <w:rFonts w:ascii="Helvetica" w:eastAsia="Times New Roman" w:hAnsi="Helvetica" w:cs="Helvetica"/>
          <w:color w:val="424545"/>
          <w:sz w:val="18"/>
          <w:szCs w:val="18"/>
        </w:rPr>
        <w:t>advances, allowances or reimbursements are only for allowable business expenses that are paid or incurred by the individual in the course of conducting university business.</w:t>
      </w:r>
    </w:p>
    <w:p w:rsidR="008200D9" w:rsidRPr="008200D9" w:rsidRDefault="008200D9" w:rsidP="008200D9">
      <w:pPr>
        <w:pStyle w:val="ListParagraph"/>
        <w:shd w:val="clear" w:color="auto" w:fill="FFFFFF"/>
        <w:spacing w:after="0" w:line="240" w:lineRule="auto"/>
        <w:textAlignment w:val="baseline"/>
        <w:rPr>
          <w:rFonts w:ascii="Helvetica" w:eastAsia="Times New Roman" w:hAnsi="Helvetica" w:cs="Helvetica"/>
          <w:color w:val="424545"/>
          <w:sz w:val="18"/>
          <w:szCs w:val="18"/>
        </w:rPr>
      </w:pPr>
    </w:p>
    <w:p w:rsidR="008200D9" w:rsidRDefault="008200D9" w:rsidP="008200D9">
      <w:pPr>
        <w:pStyle w:val="ListParagraph"/>
        <w:numPr>
          <w:ilvl w:val="0"/>
          <w:numId w:val="2"/>
        </w:numPr>
        <w:shd w:val="clear" w:color="auto" w:fill="FFFFFF"/>
        <w:spacing w:after="0" w:line="240" w:lineRule="auto"/>
        <w:textAlignment w:val="baseline"/>
        <w:rPr>
          <w:rFonts w:ascii="Helvetica" w:eastAsia="Times New Roman" w:hAnsi="Helvetica" w:cs="Helvetica"/>
          <w:color w:val="424545"/>
          <w:sz w:val="18"/>
          <w:szCs w:val="18"/>
        </w:rPr>
      </w:pPr>
      <w:r w:rsidRPr="008200D9">
        <w:rPr>
          <w:rFonts w:ascii="Helvetica" w:eastAsia="Times New Roman" w:hAnsi="Helvetica" w:cs="Helvetica"/>
          <w:color w:val="424545"/>
          <w:sz w:val="18"/>
          <w:szCs w:val="18"/>
          <w:u w:val="single"/>
          <w:bdr w:val="none" w:sz="0" w:space="0" w:color="auto" w:frame="1"/>
        </w:rPr>
        <w:t>Substantiation Requirement:</w:t>
      </w:r>
      <w:r w:rsidRPr="008200D9">
        <w:rPr>
          <w:rFonts w:ascii="Helvetica" w:eastAsia="Times New Roman" w:hAnsi="Helvetica" w:cs="Helvetica"/>
          <w:color w:val="424545"/>
          <w:sz w:val="18"/>
          <w:szCs w:val="18"/>
        </w:rPr>
        <w:t> the individual must substantiate each business expense with a detailed record within a reasonable period of time (120 days).</w:t>
      </w:r>
    </w:p>
    <w:p w:rsidR="008200D9" w:rsidRPr="008200D9" w:rsidRDefault="008200D9" w:rsidP="008200D9">
      <w:pPr>
        <w:pStyle w:val="ListParagraph"/>
        <w:rPr>
          <w:rFonts w:ascii="Helvetica" w:eastAsia="Times New Roman" w:hAnsi="Helvetica" w:cs="Helvetica"/>
          <w:color w:val="424545"/>
          <w:sz w:val="18"/>
          <w:szCs w:val="18"/>
          <w:u w:val="single"/>
          <w:bdr w:val="none" w:sz="0" w:space="0" w:color="auto" w:frame="1"/>
        </w:rPr>
      </w:pPr>
    </w:p>
    <w:p w:rsidR="008200D9" w:rsidRPr="008200D9" w:rsidRDefault="008200D9" w:rsidP="008200D9">
      <w:pPr>
        <w:pStyle w:val="ListParagraph"/>
        <w:numPr>
          <w:ilvl w:val="0"/>
          <w:numId w:val="2"/>
        </w:numPr>
        <w:shd w:val="clear" w:color="auto" w:fill="FFFFFF"/>
        <w:spacing w:after="0" w:line="240" w:lineRule="auto"/>
        <w:textAlignment w:val="baseline"/>
        <w:rPr>
          <w:rFonts w:ascii="Helvetica" w:eastAsia="Times New Roman" w:hAnsi="Helvetica" w:cs="Helvetica"/>
          <w:color w:val="424545"/>
          <w:sz w:val="18"/>
          <w:szCs w:val="18"/>
        </w:rPr>
      </w:pPr>
      <w:r w:rsidRPr="008200D9">
        <w:rPr>
          <w:rFonts w:ascii="Helvetica" w:eastAsia="Times New Roman" w:hAnsi="Helvetica" w:cs="Helvetica"/>
          <w:color w:val="424545"/>
          <w:sz w:val="18"/>
          <w:szCs w:val="18"/>
          <w:u w:val="single"/>
          <w:bdr w:val="none" w:sz="0" w:space="0" w:color="auto" w:frame="1"/>
        </w:rPr>
        <w:t>Return of Funds Requirement</w:t>
      </w:r>
      <w:r w:rsidRPr="008200D9">
        <w:rPr>
          <w:rFonts w:ascii="Helvetica" w:eastAsia="Times New Roman" w:hAnsi="Helvetica" w:cs="Helvetica"/>
          <w:color w:val="424545"/>
          <w:sz w:val="18"/>
          <w:szCs w:val="18"/>
        </w:rPr>
        <w:t>: if an advance was received, the individual must substantiate any amount within 120 days and return any amount in excess of the expenses substantiated to IU.</w:t>
      </w:r>
    </w:p>
    <w:p w:rsidR="008200D9" w:rsidRDefault="008200D9" w:rsidP="008200D9">
      <w:pPr>
        <w:shd w:val="clear" w:color="auto" w:fill="FFFFFF"/>
        <w:spacing w:after="0" w:line="240" w:lineRule="auto"/>
        <w:textAlignment w:val="baseline"/>
        <w:rPr>
          <w:rFonts w:ascii="Helvetica" w:eastAsia="Times New Roman" w:hAnsi="Helvetica" w:cs="Helvetica"/>
          <w:color w:val="424545"/>
          <w:sz w:val="18"/>
          <w:szCs w:val="18"/>
        </w:rPr>
      </w:pPr>
    </w:p>
    <w:p w:rsidR="008200D9" w:rsidRPr="008200D9" w:rsidRDefault="008200D9" w:rsidP="008200D9">
      <w:pPr>
        <w:shd w:val="clear" w:color="auto" w:fill="FFFFFF"/>
        <w:spacing w:after="0" w:line="240" w:lineRule="auto"/>
        <w:textAlignment w:val="baseline"/>
        <w:rPr>
          <w:rFonts w:ascii="Helvetica" w:eastAsia="Times New Roman" w:hAnsi="Helvetica" w:cs="Helvetica"/>
          <w:color w:val="424545"/>
          <w:sz w:val="18"/>
          <w:szCs w:val="18"/>
        </w:rPr>
      </w:pPr>
      <w:r w:rsidRPr="008200D9">
        <w:rPr>
          <w:rFonts w:ascii="Helvetica" w:eastAsia="Times New Roman" w:hAnsi="Helvetica" w:cs="Helvetica"/>
          <w:color w:val="424545"/>
          <w:sz w:val="18"/>
          <w:szCs w:val="18"/>
        </w:rPr>
        <w:t>If the arrangement meets the requirements of 1-3 listed above, all reimbursements will be treated as non-taxable under the accountable plan rules. If the requirements are not met, the expense may still be reimbursed, but will be considered reportable income to the individual.</w:t>
      </w:r>
    </w:p>
    <w:p w:rsidR="00C10BE1" w:rsidRDefault="00C10BE1">
      <w:bookmarkStart w:id="0" w:name="_GoBack"/>
      <w:bookmarkEnd w:id="0"/>
    </w:p>
    <w:sectPr w:rsidR="00C10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225DB"/>
    <w:multiLevelType w:val="hybridMultilevel"/>
    <w:tmpl w:val="D3B21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981BCB"/>
    <w:multiLevelType w:val="multilevel"/>
    <w:tmpl w:val="BC964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0D9"/>
    <w:rsid w:val="008200D9"/>
    <w:rsid w:val="00C1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6DA1"/>
  <w15:chartTrackingRefBased/>
  <w15:docId w15:val="{1AC12AAE-CBC5-42B6-A345-CC03CF70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200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0D9"/>
    <w:rPr>
      <w:rFonts w:ascii="Times New Roman" w:eastAsia="Times New Roman" w:hAnsi="Times New Roman" w:cs="Times New Roman"/>
      <w:b/>
      <w:bCs/>
      <w:kern w:val="36"/>
      <w:sz w:val="48"/>
      <w:szCs w:val="48"/>
    </w:rPr>
  </w:style>
  <w:style w:type="character" w:customStyle="1" w:styleId="font3red">
    <w:name w:val="font3red"/>
    <w:basedOn w:val="DefaultParagraphFont"/>
    <w:rsid w:val="008200D9"/>
  </w:style>
  <w:style w:type="paragraph" w:styleId="NormalWeb">
    <w:name w:val="Normal (Web)"/>
    <w:basedOn w:val="Normal"/>
    <w:uiPriority w:val="99"/>
    <w:semiHidden/>
    <w:unhideWhenUsed/>
    <w:rsid w:val="008200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00D9"/>
    <w:rPr>
      <w:b/>
      <w:bCs/>
    </w:rPr>
  </w:style>
  <w:style w:type="paragraph" w:styleId="ListParagraph">
    <w:name w:val="List Paragraph"/>
    <w:basedOn w:val="Normal"/>
    <w:uiPriority w:val="34"/>
    <w:qFormat/>
    <w:rsid w:val="00820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5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Seifert, Andrea Tabler</dc:creator>
  <cp:keywords/>
  <dc:description/>
  <cp:lastModifiedBy>Seifert, Andrea Tabler</cp:lastModifiedBy>
  <cp:revision>1</cp:revision>
  <dcterms:created xsi:type="dcterms:W3CDTF">2020-10-06T20:45:00Z</dcterms:created>
  <dcterms:modified xsi:type="dcterms:W3CDTF">2020-10-06T20:46:00Z</dcterms:modified>
</cp:coreProperties>
</file>