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01F" w:rsidRPr="005D301F" w:rsidRDefault="005D301F" w:rsidP="005D301F">
      <w:pPr>
        <w:shd w:val="clear" w:color="auto" w:fill="FFFFFF"/>
        <w:spacing w:before="135" w:after="120" w:line="240" w:lineRule="auto"/>
        <w:textAlignment w:val="baseline"/>
        <w:outlineLvl w:val="0"/>
        <w:rPr>
          <w:rFonts w:ascii="Helvetica" w:eastAsia="Times New Roman" w:hAnsi="Helvetica" w:cs="Helvetica"/>
          <w:b/>
          <w:bCs/>
          <w:color w:val="7D110C"/>
          <w:kern w:val="36"/>
          <w:sz w:val="27"/>
          <w:szCs w:val="27"/>
        </w:rPr>
      </w:pPr>
      <w:r w:rsidRPr="005D301F">
        <w:rPr>
          <w:rFonts w:ascii="Helvetica" w:eastAsia="Times New Roman" w:hAnsi="Helvetica" w:cs="Helvetica"/>
          <w:b/>
          <w:bCs/>
          <w:color w:val="7D110C"/>
          <w:kern w:val="36"/>
          <w:sz w:val="27"/>
          <w:szCs w:val="27"/>
        </w:rPr>
        <w:t>Unrelated Business Income Tax (UBIT)</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 </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Indiana University is exempt from paying Federal income tax on income related to the University’s exempt purpose. </w:t>
      </w:r>
      <w:r w:rsidRPr="005D301F">
        <w:rPr>
          <w:rFonts w:ascii="Helvetica" w:eastAsia="Times New Roman" w:hAnsi="Helvetica" w:cs="Helvetica"/>
          <w:b/>
          <w:bCs/>
          <w:color w:val="B50214"/>
          <w:sz w:val="18"/>
          <w:szCs w:val="18"/>
          <w:bdr w:val="none" w:sz="0" w:space="0" w:color="auto" w:frame="1"/>
        </w:rPr>
        <w:t>Remember, the IRS is concerned with HOW the funds are GENERATED, instead of how the funds are used!</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 </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However, the University also engages in other activities that do not directly relate to its exempt purpose. These other activities are subject to income tax under Section 511 of the Internal Revenue Code. This section of the IRC is designed to prevent tax exempt organizations from having an unfair advantage over for-profit business that do pay tax on income generated in the same manner.</w:t>
      </w:r>
      <w:r>
        <w:rPr>
          <w:rFonts w:ascii="Helvetica" w:eastAsia="Times New Roman" w:hAnsi="Helvetica" w:cs="Helvetica"/>
          <w:color w:val="424545"/>
          <w:sz w:val="18"/>
          <w:szCs w:val="18"/>
        </w:rPr>
        <w:t xml:space="preserve"> </w:t>
      </w:r>
      <w:r w:rsidRPr="005D301F">
        <w:rPr>
          <w:rFonts w:ascii="Helvetica" w:eastAsia="Times New Roman" w:hAnsi="Helvetica" w:cs="Helvetica"/>
          <w:color w:val="424545"/>
          <w:sz w:val="18"/>
          <w:szCs w:val="18"/>
        </w:rPr>
        <w:t>The Form 990-T, Exempt Organization Busin</w:t>
      </w:r>
      <w:bookmarkStart w:id="0" w:name="_GoBack"/>
      <w:bookmarkEnd w:id="0"/>
      <w:r w:rsidRPr="005D301F">
        <w:rPr>
          <w:rFonts w:ascii="Helvetica" w:eastAsia="Times New Roman" w:hAnsi="Helvetica" w:cs="Helvetica"/>
          <w:color w:val="424545"/>
          <w:sz w:val="18"/>
          <w:szCs w:val="18"/>
        </w:rPr>
        <w:t>ess Income Tax Return is filed annually with the IRS.</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 </w: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IU Policy </w:t>
      </w:r>
      <w:hyperlink r:id="rId4" w:history="1">
        <w:r w:rsidRPr="005D301F">
          <w:rPr>
            <w:rFonts w:ascii="Helvetica" w:eastAsia="Times New Roman" w:hAnsi="Helvetica" w:cs="Helvetica"/>
            <w:color w:val="7D110C"/>
            <w:sz w:val="18"/>
            <w:szCs w:val="18"/>
            <w:u w:val="single"/>
            <w:bdr w:val="none" w:sz="0" w:space="0" w:color="auto" w:frame="1"/>
          </w:rPr>
          <w:t>Establishing &amp; Modifying Revenue Producing Activities (RPA) FIN-TRE-121</w:t>
        </w:r>
      </w:hyperlink>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Form </w:t>
      </w:r>
      <w:hyperlink r:id="rId5" w:history="1">
        <w:r w:rsidRPr="005D301F">
          <w:rPr>
            <w:rFonts w:ascii="Helvetica" w:eastAsia="Times New Roman" w:hAnsi="Helvetica" w:cs="Helvetica"/>
            <w:color w:val="7D110C"/>
            <w:sz w:val="18"/>
            <w:szCs w:val="18"/>
            <w:u w:val="single"/>
            <w:bdr w:val="none" w:sz="0" w:space="0" w:color="auto" w:frame="1"/>
          </w:rPr>
          <w:t>Revenue Producing Activity On-Line Submission Site</w:t>
        </w:r>
      </w:hyperlink>
    </w:p>
    <w:p w:rsid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For specific questions, please contact University Tax Services</w:t>
      </w:r>
      <w:r>
        <w:rPr>
          <w:rFonts w:ascii="Helvetica" w:eastAsia="Times New Roman" w:hAnsi="Helvetica" w:cs="Helvetica"/>
          <w:color w:val="424545"/>
          <w:sz w:val="18"/>
          <w:szCs w:val="18"/>
        </w:rPr>
        <w:t xml:space="preserve"> via the </w:t>
      </w:r>
      <w:hyperlink r:id="rId6" w:history="1">
        <w:r w:rsidRPr="005D301F">
          <w:rPr>
            <w:rStyle w:val="Hyperlink"/>
            <w:rFonts w:ascii="Helvetica" w:eastAsia="Times New Roman" w:hAnsi="Helvetica" w:cs="Helvetica"/>
            <w:color w:val="800000"/>
            <w:sz w:val="18"/>
            <w:szCs w:val="18"/>
          </w:rPr>
          <w:t>Contact Page</w:t>
        </w:r>
      </w:hyperlink>
      <w:r w:rsidRPr="005D301F">
        <w:rPr>
          <w:rFonts w:ascii="Helvetica" w:eastAsia="Times New Roman" w:hAnsi="Helvetica" w:cs="Helvetica"/>
          <w:color w:val="800000"/>
          <w:sz w:val="18"/>
          <w:szCs w:val="18"/>
        </w:rPr>
        <w:t>.</w:t>
      </w:r>
      <w:r w:rsidRPr="005D301F">
        <w:rPr>
          <w:rFonts w:ascii="Helvetica" w:eastAsia="Times New Roman" w:hAnsi="Helvetica" w:cs="Helvetica"/>
          <w:noProof/>
          <w:color w:val="7D110C"/>
          <w:sz w:val="18"/>
          <w:szCs w:val="18"/>
          <w:bdr w:val="none" w:sz="0" w:space="0" w:color="auto" w:frame="1"/>
        </w:rPr>
        <mc:AlternateContent>
          <mc:Choice Requires="wps">
            <w:drawing>
              <wp:inline distT="0" distB="0" distL="0" distR="0">
                <wp:extent cx="241300" cy="241300"/>
                <wp:effectExtent l="0" t="0" r="0" b="0"/>
                <wp:docPr id="6" name="Rectangle 6" descr="https://old.fms.iu.edu/eldorado_mini/work/036.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0E5E9" id="Rectangle 6" o:spid="_x0000_s1026" alt="https://old.fms.iu.edu/eldorado_mini/work/036.png" href="https://old.fms.iu.edu/tax/about-us/contact-us/"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" o:button="t" filled="f" stroked="f">
                <v:fill o:detectmouseclick="t"/>
                <o:lock v:ext="edit" aspectratio="t"/>
                <w10:anchorlock/>
              </v:rect>
            </w:pict>
          </mc:Fallback>
        </mc:AlternateContent>
      </w:r>
    </w:p>
    <w:p w:rsidR="005D301F" w:rsidRPr="005D301F" w:rsidRDefault="005D301F" w:rsidP="005D301F">
      <w:pPr>
        <w:shd w:val="clear" w:color="auto" w:fill="FFFFFF"/>
        <w:spacing w:after="0" w:line="240" w:lineRule="auto"/>
        <w:textAlignment w:val="baseline"/>
        <w:rPr>
          <w:rFonts w:ascii="Helvetica" w:eastAsia="Times New Roman" w:hAnsi="Helvetica" w:cs="Helvetica"/>
          <w:color w:val="424545"/>
          <w:sz w:val="18"/>
          <w:szCs w:val="18"/>
        </w:rPr>
      </w:pPr>
    </w:p>
    <w:tbl>
      <w:tblPr>
        <w:tblW w:w="0" w:type="auto"/>
        <w:tblInd w:w="75" w:type="dxa"/>
        <w:shd w:val="clear" w:color="auto" w:fill="FFFFFF"/>
        <w:tblCellMar>
          <w:left w:w="0" w:type="dxa"/>
          <w:right w:w="0" w:type="dxa"/>
        </w:tblCellMar>
        <w:tblLook w:val="04A0" w:firstRow="1" w:lastRow="0" w:firstColumn="1" w:lastColumn="0" w:noHBand="0" w:noVBand="1"/>
      </w:tblPr>
      <w:tblGrid>
        <w:gridCol w:w="216"/>
        <w:gridCol w:w="3751"/>
        <w:gridCol w:w="5312"/>
      </w:tblGrid>
      <w:tr w:rsidR="005D301F" w:rsidRPr="005D301F" w:rsidTr="005D301F">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hyperlink r:id="rId8" w:tooltip="Criteria for UBIT" w:history="1">
              <w:r w:rsidRPr="005D301F">
                <w:rPr>
                  <w:rFonts w:ascii="Helvetica" w:eastAsia="Times New Roman" w:hAnsi="Helvetica" w:cs="Helvetica"/>
                  <w:color w:val="7D110C"/>
                  <w:sz w:val="18"/>
                  <w:szCs w:val="18"/>
                  <w:u w:val="single"/>
                  <w:bdr w:val="none" w:sz="0" w:space="0" w:color="auto" w:frame="1"/>
                </w:rPr>
                <w:t>Criteria for UBIT</w:t>
              </w:r>
            </w:hyperlink>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Overview of three main criteria for determining UBIT income.</w:t>
            </w:r>
          </w:p>
        </w:tc>
      </w:tr>
      <w:tr w:rsidR="005D301F" w:rsidRPr="005D301F" w:rsidTr="005D301F">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hyperlink r:id="rId9" w:tooltip="Deductions" w:history="1">
              <w:r w:rsidRPr="005D301F">
                <w:rPr>
                  <w:rFonts w:ascii="Helvetica" w:eastAsia="Times New Roman" w:hAnsi="Helvetica" w:cs="Helvetica"/>
                  <w:color w:val="7D110C"/>
                  <w:sz w:val="18"/>
                  <w:szCs w:val="18"/>
                  <w:u w:val="single"/>
                  <w:bdr w:val="none" w:sz="0" w:space="0" w:color="auto" w:frame="1"/>
                </w:rPr>
                <w:t>Deductions for UBIT</w:t>
              </w:r>
            </w:hyperlink>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Criteria for the allowable expenses to take against UBIT.</w:t>
            </w:r>
          </w:p>
        </w:tc>
      </w:tr>
      <w:tr w:rsidR="005D301F" w:rsidRPr="005D301F" w:rsidTr="005D301F">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hyperlink r:id="rId10" w:tooltip="Definition" w:history="1">
              <w:r w:rsidRPr="005D301F">
                <w:rPr>
                  <w:rFonts w:ascii="Helvetica" w:eastAsia="Times New Roman" w:hAnsi="Helvetica" w:cs="Helvetica"/>
                  <w:color w:val="7D110C"/>
                  <w:sz w:val="18"/>
                  <w:szCs w:val="18"/>
                  <w:u w:val="single"/>
                  <w:bdr w:val="none" w:sz="0" w:space="0" w:color="auto" w:frame="1"/>
                </w:rPr>
                <w:t>UBIT Unrelated and Related Determination Matrix</w:t>
              </w:r>
            </w:hyperlink>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A matrix categorizing different activities as unrelated and related income.</w:t>
            </w:r>
          </w:p>
        </w:tc>
      </w:tr>
      <w:tr w:rsidR="005D301F" w:rsidRPr="005D301F" w:rsidTr="005D301F">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hyperlink r:id="rId11" w:tooltip="Examples" w:history="1">
              <w:r w:rsidRPr="005D301F">
                <w:rPr>
                  <w:rFonts w:ascii="Helvetica" w:eastAsia="Times New Roman" w:hAnsi="Helvetica" w:cs="Helvetica"/>
                  <w:color w:val="7D110C"/>
                  <w:sz w:val="18"/>
                  <w:szCs w:val="18"/>
                  <w:u w:val="single"/>
                  <w:bdr w:val="none" w:sz="0" w:space="0" w:color="auto" w:frame="1"/>
                </w:rPr>
                <w:t>Examples of UBIT</w:t>
              </w:r>
            </w:hyperlink>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 A comprehensive list of UBIT income examples.</w:t>
            </w:r>
          </w:p>
        </w:tc>
      </w:tr>
      <w:tr w:rsidR="005D301F" w:rsidRPr="005D301F" w:rsidTr="00F72D53">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tcPr>
          <w:p w:rsidR="005D301F" w:rsidRPr="005D301F" w:rsidRDefault="005D301F" w:rsidP="005D301F">
            <w:pPr>
              <w:spacing w:after="0" w:line="240" w:lineRule="auto"/>
              <w:rPr>
                <w:rFonts w:ascii="Helvetica" w:eastAsia="Times New Roman" w:hAnsi="Helvetica" w:cs="Helvetica"/>
                <w:color w:val="424545"/>
                <w:sz w:val="18"/>
                <w:szCs w:val="18"/>
              </w:rPr>
            </w:pPr>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hyperlink r:id="rId12" w:tooltip="Exceptions to UBIT" w:history="1">
              <w:r w:rsidRPr="005D301F">
                <w:rPr>
                  <w:rFonts w:ascii="Helvetica" w:eastAsia="Times New Roman" w:hAnsi="Helvetica" w:cs="Helvetica"/>
                  <w:color w:val="7D110C"/>
                  <w:sz w:val="18"/>
                  <w:szCs w:val="18"/>
                  <w:u w:val="single"/>
                  <w:bdr w:val="none" w:sz="0" w:space="0" w:color="auto" w:frame="1"/>
                </w:rPr>
                <w:t>Exceptions to UBIT</w:t>
              </w:r>
            </w:hyperlink>
          </w:p>
        </w:tc>
        <w:tc>
          <w:tcPr>
            <w:tcW w:w="0" w:type="auto"/>
            <w:tcBorders>
              <w:top w:val="single" w:sz="2" w:space="0" w:color="D4D4D4"/>
              <w:left w:val="single" w:sz="2" w:space="0" w:color="D4D4D4"/>
              <w:bottom w:val="single" w:sz="2" w:space="0" w:color="D4D4D4"/>
              <w:right w:val="single" w:sz="2" w:space="0" w:color="D4D4D4"/>
            </w:tcBorders>
            <w:shd w:val="clear" w:color="auto" w:fill="FFFFFF"/>
            <w:tcMar>
              <w:top w:w="105" w:type="dxa"/>
              <w:left w:w="105" w:type="dxa"/>
              <w:bottom w:w="105" w:type="dxa"/>
              <w:right w:w="105" w:type="dxa"/>
            </w:tcMar>
            <w:hideMark/>
          </w:tcPr>
          <w:p w:rsidR="005D301F" w:rsidRPr="005D301F" w:rsidRDefault="005D301F" w:rsidP="005D301F">
            <w:pPr>
              <w:spacing w:after="0" w:line="240" w:lineRule="auto"/>
              <w:rPr>
                <w:rFonts w:ascii="Helvetica" w:eastAsia="Times New Roman" w:hAnsi="Helvetica" w:cs="Helvetica"/>
                <w:color w:val="424545"/>
                <w:sz w:val="18"/>
                <w:szCs w:val="18"/>
              </w:rPr>
            </w:pPr>
            <w:r w:rsidRPr="005D301F">
              <w:rPr>
                <w:rFonts w:ascii="Helvetica" w:eastAsia="Times New Roman" w:hAnsi="Helvetica" w:cs="Helvetica"/>
                <w:color w:val="424545"/>
                <w:sz w:val="18"/>
                <w:szCs w:val="18"/>
              </w:rPr>
              <w:t>A quick list of all the exceptions to UBIT and helpful definitions.</w:t>
            </w:r>
          </w:p>
        </w:tc>
      </w:tr>
    </w:tbl>
    <w:p w:rsidR="0052647E" w:rsidRDefault="0052647E"/>
    <w:sectPr w:rsidR="00526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1F"/>
    <w:rsid w:val="0052647E"/>
    <w:rsid w:val="005D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9396"/>
  <w15:chartTrackingRefBased/>
  <w15:docId w15:val="{9918F9D7-708C-446C-BC63-4B7C8FA5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30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1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3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01F"/>
    <w:rPr>
      <w:b/>
      <w:bCs/>
    </w:rPr>
  </w:style>
  <w:style w:type="character" w:styleId="Hyperlink">
    <w:name w:val="Hyperlink"/>
    <w:basedOn w:val="DefaultParagraphFont"/>
    <w:uiPriority w:val="99"/>
    <w:unhideWhenUsed/>
    <w:rsid w:val="005D3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oller.iu.edu/compliance/form-libra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ld.fms.iu.edu/tax/about-us/contact-us/" TargetMode="External"/><Relationship Id="rId12" Type="http://schemas.openxmlformats.org/officeDocument/2006/relationships/hyperlink" Target="https://controller.iu.edu/compliance/form-libr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oller.iu.edu/contact" TargetMode="External"/><Relationship Id="rId11" Type="http://schemas.openxmlformats.org/officeDocument/2006/relationships/hyperlink" Target="https://controller.iu.edu/compliance/form-library" TargetMode="External"/><Relationship Id="rId5" Type="http://schemas.openxmlformats.org/officeDocument/2006/relationships/hyperlink" Target="https://apps4.indiana.edu/VPGA_RPA_V1_Online/Default.aspx" TargetMode="External"/><Relationship Id="rId10" Type="http://schemas.openxmlformats.org/officeDocument/2006/relationships/hyperlink" Target="https://controller.iu.edu/compliance/form-library" TargetMode="External"/><Relationship Id="rId4" Type="http://schemas.openxmlformats.org/officeDocument/2006/relationships/hyperlink" Target="https://policies.iu.edu/policies/fin-tre-121-establishing-modifying-revenue-producing-activities1/index.html" TargetMode="External"/><Relationship Id="rId9" Type="http://schemas.openxmlformats.org/officeDocument/2006/relationships/hyperlink" Target="https://controller.iu.edu/compliance/form-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2020-10-07T17:22:00Z</dcterms:created>
  <dcterms:modified xsi:type="dcterms:W3CDTF">2020-10-07T17:26:00Z</dcterms:modified>
</cp:coreProperties>
</file>