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01F" w:rsidRPr="005D301F" w:rsidRDefault="005D301F" w:rsidP="005D301F">
      <w:pPr>
        <w:shd w:val="clear" w:color="auto" w:fill="FFFFFF"/>
        <w:spacing w:before="135" w:after="120" w:line="240" w:lineRule="auto"/>
        <w:textAlignment w:val="baseline"/>
        <w:outlineLvl w:val="0"/>
        <w:rPr>
          <w:rFonts w:ascii="Helvetica" w:eastAsia="Times New Roman" w:hAnsi="Helvetica" w:cs="Helvetica"/>
          <w:b/>
          <w:bCs/>
          <w:color w:val="7D110C"/>
          <w:kern w:val="36"/>
          <w:sz w:val="27"/>
          <w:szCs w:val="27"/>
        </w:rPr>
      </w:pPr>
      <w:r w:rsidRPr="005D301F">
        <w:rPr>
          <w:rFonts w:ascii="Helvetica" w:eastAsia="Times New Roman" w:hAnsi="Helvetica" w:cs="Helvetica"/>
          <w:b/>
          <w:bCs/>
          <w:color w:val="7D110C"/>
          <w:kern w:val="36"/>
          <w:sz w:val="27"/>
          <w:szCs w:val="27"/>
        </w:rPr>
        <w:t>Unrelated Business Income Tax (UBIT)</w:t>
      </w:r>
    </w:p>
    <w:p w:rsidR="005D301F" w:rsidRPr="005D301F" w:rsidRDefault="005D301F" w:rsidP="005D301F">
      <w:pPr>
        <w:shd w:val="clear" w:color="auto" w:fill="FFFFFF"/>
        <w:spacing w:after="0" w:line="240" w:lineRule="auto"/>
        <w:textAlignment w:val="baseline"/>
        <w:rPr>
          <w:rFonts w:ascii="Helvetica" w:eastAsia="Times New Roman" w:hAnsi="Helvetica" w:cs="Helvetica"/>
          <w:color w:val="424545"/>
          <w:sz w:val="18"/>
          <w:szCs w:val="18"/>
        </w:rPr>
      </w:pPr>
      <w:r w:rsidRPr="005D301F">
        <w:rPr>
          <w:rFonts w:ascii="Helvetica" w:eastAsia="Times New Roman" w:hAnsi="Helvetica" w:cs="Helvetica"/>
          <w:color w:val="424545"/>
          <w:sz w:val="18"/>
          <w:szCs w:val="18"/>
        </w:rPr>
        <w:t> </w:t>
      </w:r>
    </w:p>
    <w:p w:rsidR="005D301F" w:rsidRPr="005D301F" w:rsidRDefault="005D301F" w:rsidP="005D301F">
      <w:pPr>
        <w:shd w:val="clear" w:color="auto" w:fill="FFFFFF"/>
        <w:spacing w:after="0" w:line="240" w:lineRule="auto"/>
        <w:textAlignment w:val="baseline"/>
        <w:rPr>
          <w:rFonts w:ascii="Helvetica" w:eastAsia="Times New Roman" w:hAnsi="Helvetica" w:cs="Helvetica"/>
          <w:color w:val="424545"/>
          <w:sz w:val="18"/>
          <w:szCs w:val="18"/>
        </w:rPr>
      </w:pPr>
      <w:r w:rsidRPr="005D301F">
        <w:rPr>
          <w:rFonts w:ascii="Helvetica" w:eastAsia="Times New Roman" w:hAnsi="Helvetica" w:cs="Helvetica"/>
          <w:color w:val="424545"/>
          <w:sz w:val="18"/>
          <w:szCs w:val="18"/>
        </w:rPr>
        <w:t>Indiana University is exempt from paying Federal income tax on income related to the University’s exempt purpose. </w:t>
      </w:r>
      <w:r w:rsidRPr="005D301F">
        <w:rPr>
          <w:rFonts w:ascii="Helvetica" w:eastAsia="Times New Roman" w:hAnsi="Helvetica" w:cs="Helvetica"/>
          <w:b/>
          <w:bCs/>
          <w:color w:val="B50214"/>
          <w:sz w:val="18"/>
          <w:szCs w:val="18"/>
          <w:bdr w:val="none" w:sz="0" w:space="0" w:color="auto" w:frame="1"/>
        </w:rPr>
        <w:t>Remember, the IRS is concerned with HOW the funds are GENERATED, instead of how the funds are used!</w:t>
      </w:r>
    </w:p>
    <w:p w:rsidR="005D301F" w:rsidRPr="005D301F" w:rsidRDefault="005D301F" w:rsidP="005D301F">
      <w:pPr>
        <w:shd w:val="clear" w:color="auto" w:fill="FFFFFF"/>
        <w:spacing w:after="0" w:line="240" w:lineRule="auto"/>
        <w:textAlignment w:val="baseline"/>
        <w:rPr>
          <w:rFonts w:ascii="Helvetica" w:eastAsia="Times New Roman" w:hAnsi="Helvetica" w:cs="Helvetica"/>
          <w:color w:val="424545"/>
          <w:sz w:val="18"/>
          <w:szCs w:val="18"/>
        </w:rPr>
      </w:pPr>
      <w:r w:rsidRPr="005D301F">
        <w:rPr>
          <w:rFonts w:ascii="Helvetica" w:eastAsia="Times New Roman" w:hAnsi="Helvetica" w:cs="Helvetica"/>
          <w:color w:val="424545"/>
          <w:sz w:val="18"/>
          <w:szCs w:val="18"/>
        </w:rPr>
        <w:t> </w:t>
      </w:r>
    </w:p>
    <w:p w:rsidR="005D301F" w:rsidRPr="005D301F" w:rsidRDefault="005D301F" w:rsidP="005D301F">
      <w:pPr>
        <w:shd w:val="clear" w:color="auto" w:fill="FFFFFF"/>
        <w:spacing w:after="0" w:line="240" w:lineRule="auto"/>
        <w:textAlignment w:val="baseline"/>
        <w:rPr>
          <w:rFonts w:ascii="Helvetica" w:eastAsia="Times New Roman" w:hAnsi="Helvetica" w:cs="Helvetica"/>
          <w:color w:val="424545"/>
          <w:sz w:val="18"/>
          <w:szCs w:val="18"/>
        </w:rPr>
      </w:pPr>
      <w:r w:rsidRPr="005D301F">
        <w:rPr>
          <w:rFonts w:ascii="Helvetica" w:eastAsia="Times New Roman" w:hAnsi="Helvetica" w:cs="Helvetica"/>
          <w:color w:val="424545"/>
          <w:sz w:val="18"/>
          <w:szCs w:val="18"/>
        </w:rPr>
        <w:t>However, the University also engages in other activities that do not directly relate to its exempt purpose. These other activities are subject to income tax under Section 511 of the Internal Revenue Code. This section of the IRC is designed to prevent tax exempt organizations from having an unfair advantage over for-profit business that do pay tax on income generated in the same manner.</w:t>
      </w:r>
      <w:r>
        <w:rPr>
          <w:rFonts w:ascii="Helvetica" w:eastAsia="Times New Roman" w:hAnsi="Helvetica" w:cs="Helvetica"/>
          <w:color w:val="424545"/>
          <w:sz w:val="18"/>
          <w:szCs w:val="18"/>
        </w:rPr>
        <w:t xml:space="preserve"> </w:t>
      </w:r>
      <w:r w:rsidRPr="005D301F">
        <w:rPr>
          <w:rFonts w:ascii="Helvetica" w:eastAsia="Times New Roman" w:hAnsi="Helvetica" w:cs="Helvetica"/>
          <w:color w:val="424545"/>
          <w:sz w:val="18"/>
          <w:szCs w:val="18"/>
        </w:rPr>
        <w:t>The Form 990-T, Exempt Organization Busin</w:t>
      </w:r>
      <w:bookmarkStart w:id="0" w:name="_GoBack"/>
      <w:bookmarkEnd w:id="0"/>
      <w:r w:rsidRPr="005D301F">
        <w:rPr>
          <w:rFonts w:ascii="Helvetica" w:eastAsia="Times New Roman" w:hAnsi="Helvetica" w:cs="Helvetica"/>
          <w:color w:val="424545"/>
          <w:sz w:val="18"/>
          <w:szCs w:val="18"/>
        </w:rPr>
        <w:t>ess Income Tax Return is filed annually with the IRS.</w:t>
      </w:r>
    </w:p>
    <w:p w:rsidR="005D301F" w:rsidRPr="005D301F" w:rsidRDefault="005D301F" w:rsidP="005D301F">
      <w:pPr>
        <w:shd w:val="clear" w:color="auto" w:fill="FFFFFF"/>
        <w:spacing w:after="0" w:line="240" w:lineRule="auto"/>
        <w:textAlignment w:val="baseline"/>
        <w:rPr>
          <w:rFonts w:ascii="Helvetica" w:eastAsia="Times New Roman" w:hAnsi="Helvetica" w:cs="Helvetica"/>
          <w:color w:val="424545"/>
          <w:sz w:val="18"/>
          <w:szCs w:val="18"/>
        </w:rPr>
      </w:pPr>
      <w:r w:rsidRPr="005D301F">
        <w:rPr>
          <w:rFonts w:ascii="Helvetica" w:eastAsia="Times New Roman" w:hAnsi="Helvetica" w:cs="Helvetica"/>
          <w:color w:val="424545"/>
          <w:sz w:val="18"/>
          <w:szCs w:val="18"/>
        </w:rPr>
        <w:t> </w:t>
      </w:r>
    </w:p>
    <w:p w:rsidR="005D301F" w:rsidRPr="005D301F" w:rsidRDefault="005D301F" w:rsidP="005D301F">
      <w:pPr>
        <w:shd w:val="clear" w:color="auto" w:fill="FFFFFF"/>
        <w:spacing w:after="0" w:line="240" w:lineRule="auto"/>
        <w:textAlignment w:val="baseline"/>
        <w:rPr>
          <w:rFonts w:ascii="Helvetica" w:eastAsia="Times New Roman" w:hAnsi="Helvetica" w:cs="Helvetica"/>
          <w:color w:val="424545"/>
          <w:sz w:val="18"/>
          <w:szCs w:val="18"/>
        </w:rPr>
      </w:pPr>
      <w:r w:rsidRPr="005D301F">
        <w:rPr>
          <w:rFonts w:ascii="Helvetica" w:eastAsia="Times New Roman" w:hAnsi="Helvetica" w:cs="Helvetica"/>
          <w:color w:val="424545"/>
          <w:sz w:val="18"/>
          <w:szCs w:val="18"/>
        </w:rPr>
        <w:t>IU Policy </w:t>
      </w:r>
      <w:hyperlink r:id="rId4" w:history="1">
        <w:r w:rsidRPr="005D301F">
          <w:rPr>
            <w:rFonts w:ascii="Helvetica" w:eastAsia="Times New Roman" w:hAnsi="Helvetica" w:cs="Helvetica"/>
            <w:color w:val="7D110C"/>
            <w:sz w:val="18"/>
            <w:szCs w:val="18"/>
            <w:u w:val="single"/>
            <w:bdr w:val="none" w:sz="0" w:space="0" w:color="auto" w:frame="1"/>
          </w:rPr>
          <w:t>Establishing &amp; Modifying Revenue Producing Activities (RPA) FIN-TRE-121</w:t>
        </w:r>
      </w:hyperlink>
    </w:p>
    <w:p w:rsidR="005D301F" w:rsidRPr="005D301F" w:rsidRDefault="005D301F" w:rsidP="005D301F">
      <w:pPr>
        <w:shd w:val="clear" w:color="auto" w:fill="FFFFFF"/>
        <w:spacing w:after="0" w:line="240" w:lineRule="auto"/>
        <w:textAlignment w:val="baseline"/>
        <w:rPr>
          <w:rFonts w:ascii="Helvetica" w:eastAsia="Times New Roman" w:hAnsi="Helvetica" w:cs="Helvetica"/>
          <w:color w:val="424545"/>
          <w:sz w:val="18"/>
          <w:szCs w:val="18"/>
        </w:rPr>
      </w:pPr>
      <w:r w:rsidRPr="005D301F">
        <w:rPr>
          <w:rFonts w:ascii="Helvetica" w:eastAsia="Times New Roman" w:hAnsi="Helvetica" w:cs="Helvetica"/>
          <w:color w:val="424545"/>
          <w:sz w:val="18"/>
          <w:szCs w:val="18"/>
        </w:rPr>
        <w:t>Form </w:t>
      </w:r>
      <w:hyperlink r:id="rId5" w:history="1">
        <w:r w:rsidRPr="005D301F">
          <w:rPr>
            <w:rFonts w:ascii="Helvetica" w:eastAsia="Times New Roman" w:hAnsi="Helvetica" w:cs="Helvetica"/>
            <w:color w:val="7D110C"/>
            <w:sz w:val="18"/>
            <w:szCs w:val="18"/>
            <w:u w:val="single"/>
            <w:bdr w:val="none" w:sz="0" w:space="0" w:color="auto" w:frame="1"/>
          </w:rPr>
          <w:t>Revenue Producing Activity On-Line Submission Site</w:t>
        </w:r>
      </w:hyperlink>
    </w:p>
    <w:p w:rsidR="005D301F" w:rsidRDefault="005D301F" w:rsidP="005D301F">
      <w:pPr>
        <w:shd w:val="clear" w:color="auto" w:fill="FFFFFF"/>
        <w:spacing w:after="0" w:line="240" w:lineRule="auto"/>
        <w:textAlignment w:val="baseline"/>
        <w:rPr>
          <w:rFonts w:ascii="Helvetica" w:eastAsia="Times New Roman" w:hAnsi="Helvetica" w:cs="Helvetica"/>
          <w:color w:val="424545"/>
          <w:sz w:val="18"/>
          <w:szCs w:val="18"/>
        </w:rPr>
      </w:pPr>
      <w:r w:rsidRPr="005D301F">
        <w:rPr>
          <w:rFonts w:ascii="Helvetica" w:eastAsia="Times New Roman" w:hAnsi="Helvetica" w:cs="Helvetica"/>
          <w:color w:val="424545"/>
          <w:sz w:val="18"/>
          <w:szCs w:val="18"/>
        </w:rPr>
        <w:t>For specific questions, please contact University Tax Services</w:t>
      </w:r>
      <w:r>
        <w:rPr>
          <w:rFonts w:ascii="Helvetica" w:eastAsia="Times New Roman" w:hAnsi="Helvetica" w:cs="Helvetica"/>
          <w:color w:val="424545"/>
          <w:sz w:val="18"/>
          <w:szCs w:val="18"/>
        </w:rPr>
        <w:t xml:space="preserve"> via the </w:t>
      </w:r>
      <w:hyperlink r:id="rId6" w:history="1">
        <w:r w:rsidRPr="005D301F">
          <w:rPr>
            <w:rStyle w:val="Hyperlink"/>
            <w:rFonts w:ascii="Helvetica" w:eastAsia="Times New Roman" w:hAnsi="Helvetica" w:cs="Helvetica"/>
            <w:color w:val="800000"/>
            <w:sz w:val="18"/>
            <w:szCs w:val="18"/>
          </w:rPr>
          <w:t>Contact Page</w:t>
        </w:r>
      </w:hyperlink>
      <w:r w:rsidRPr="005D301F">
        <w:rPr>
          <w:rFonts w:ascii="Helvetica" w:eastAsia="Times New Roman" w:hAnsi="Helvetica" w:cs="Helvetica"/>
          <w:color w:val="800000"/>
          <w:sz w:val="18"/>
          <w:szCs w:val="18"/>
        </w:rPr>
        <w:t>.</w:t>
      </w:r>
      <w:r w:rsidRPr="005D301F">
        <w:rPr>
          <w:rFonts w:ascii="Helvetica" w:eastAsia="Times New Roman" w:hAnsi="Helvetica" w:cs="Helvetica"/>
          <w:noProof/>
          <w:color w:val="7D110C"/>
          <w:sz w:val="18"/>
          <w:szCs w:val="18"/>
          <w:bdr w:val="none" w:sz="0" w:space="0" w:color="auto" w:frame="1"/>
        </w:rPr>
        <mc:AlternateContent>
          <mc:Choice Requires="wps">
            <w:drawing>
              <wp:inline distT="0" distB="0" distL="0" distR="0">
                <wp:extent cx="241300" cy="241300"/>
                <wp:effectExtent l="0" t="0" r="0" b="0"/>
                <wp:docPr id="6" name="Rectangle 6" descr="https://old.fms.iu.edu/eldorado_mini/work/036.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00E5E9" id="Rectangle 6" o:spid="_x0000_s1026" alt="https://old.fms.iu.edu/eldorado_mini/work/036.png" href="https://old.fms.iu.edu/tax/about-us/contact-us/" style="width:1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" o:button="t" filled="f" stroked="f">
                <v:fill o:detectmouseclick="t"/>
                <o:lock v:ext="edit" aspectratio="t"/>
                <w10:anchorlock/>
              </v:rect>
            </w:pict>
          </mc:Fallback>
        </mc:AlternateContent>
      </w:r>
    </w:p>
    <w:p w:rsidR="005D301F" w:rsidRPr="005D301F" w:rsidRDefault="005D301F" w:rsidP="005D301F">
      <w:pPr>
        <w:shd w:val="clear" w:color="auto" w:fill="FFFFFF"/>
        <w:spacing w:after="0" w:line="240" w:lineRule="auto"/>
        <w:textAlignment w:val="baseline"/>
        <w:rPr>
          <w:rFonts w:ascii="Helvetica" w:eastAsia="Times New Roman" w:hAnsi="Helvetica" w:cs="Helvetica"/>
          <w:color w:val="424545"/>
          <w:sz w:val="18"/>
          <w:szCs w:val="18"/>
        </w:rPr>
      </w:pPr>
    </w:p>
    <w:tbl>
      <w:tblPr>
        <w:tblW w:w="0" w:type="auto"/>
        <w:tblInd w:w="75" w:type="dxa"/>
        <w:shd w:val="clear" w:color="auto" w:fill="FFFFFF"/>
        <w:tblCellMar>
          <w:left w:w="0" w:type="dxa"/>
          <w:right w:w="0" w:type="dxa"/>
        </w:tblCellMar>
        <w:tblLook w:val="04A0" w:firstRow="1" w:lastRow="0" w:firstColumn="1" w:lastColumn="0" w:noHBand="0" w:noVBand="1"/>
      </w:tblPr>
      <w:tblGrid>
        <w:gridCol w:w="216"/>
        <w:gridCol w:w="3751"/>
        <w:gridCol w:w="5312"/>
      </w:tblGrid>
      <w:tr w:rsidR="005D301F" w:rsidRPr="005D301F" w:rsidTr="005D301F">
        <w:tc>
          <w:tcPr>
            <w:tcW w:w="0" w:type="auto"/>
            <w:tcBorders>
              <w:top w:val="single" w:sz="2" w:space="0" w:color="D4D4D4"/>
              <w:left w:val="single" w:sz="2" w:space="0" w:color="D4D4D4"/>
              <w:bottom w:val="single" w:sz="2" w:space="0" w:color="D4D4D4"/>
              <w:right w:val="single" w:sz="2" w:space="0" w:color="D4D4D4"/>
            </w:tcBorders>
            <w:shd w:val="clear" w:color="auto" w:fill="FFFFFF"/>
            <w:tcMar>
              <w:top w:w="105" w:type="dxa"/>
              <w:left w:w="105" w:type="dxa"/>
              <w:bottom w:w="105" w:type="dxa"/>
              <w:right w:w="105" w:type="dxa"/>
            </w:tcMar>
            <w:hideMark/>
          </w:tcPr>
          <w:p w:rsidR="005D301F" w:rsidRPr="005D301F" w:rsidRDefault="005D301F" w:rsidP="005D301F">
            <w:pPr>
              <w:spacing w:after="0" w:line="240" w:lineRule="auto"/>
              <w:rPr>
                <w:rFonts w:ascii="Helvetica" w:eastAsia="Times New Roman" w:hAnsi="Helvetica" w:cs="Helvetica"/>
                <w:color w:val="424545"/>
                <w:sz w:val="18"/>
                <w:szCs w:val="18"/>
              </w:rPr>
            </w:pPr>
          </w:p>
        </w:tc>
        <w:tc>
          <w:tcPr>
            <w:tcW w:w="0" w:type="auto"/>
            <w:tcBorders>
              <w:top w:val="single" w:sz="2" w:space="0" w:color="D4D4D4"/>
              <w:left w:val="single" w:sz="2" w:space="0" w:color="D4D4D4"/>
              <w:bottom w:val="single" w:sz="2" w:space="0" w:color="D4D4D4"/>
              <w:right w:val="single" w:sz="2" w:space="0" w:color="D4D4D4"/>
            </w:tcBorders>
            <w:shd w:val="clear" w:color="auto" w:fill="FFFFFF"/>
            <w:tcMar>
              <w:top w:w="105" w:type="dxa"/>
              <w:left w:w="105" w:type="dxa"/>
              <w:bottom w:w="105" w:type="dxa"/>
              <w:right w:w="105" w:type="dxa"/>
            </w:tcMar>
            <w:hideMark/>
          </w:tcPr>
          <w:p w:rsidR="005D301F" w:rsidRPr="005D301F" w:rsidRDefault="005D301F" w:rsidP="005D301F">
            <w:pPr>
              <w:spacing w:after="0" w:line="240" w:lineRule="auto"/>
              <w:rPr>
                <w:rFonts w:ascii="Helvetica" w:eastAsia="Times New Roman" w:hAnsi="Helvetica" w:cs="Helvetica"/>
                <w:color w:val="424545"/>
                <w:sz w:val="18"/>
                <w:szCs w:val="18"/>
              </w:rPr>
            </w:pPr>
            <w:hyperlink r:id="rId8" w:tooltip="Criteria for UBIT" w:history="1">
              <w:r w:rsidRPr="005D301F">
                <w:rPr>
                  <w:rFonts w:ascii="Helvetica" w:eastAsia="Times New Roman" w:hAnsi="Helvetica" w:cs="Helvetica"/>
                  <w:color w:val="7D110C"/>
                  <w:sz w:val="18"/>
                  <w:szCs w:val="18"/>
                  <w:u w:val="single"/>
                  <w:bdr w:val="none" w:sz="0" w:space="0" w:color="auto" w:frame="1"/>
                </w:rPr>
                <w:t>Criteria for UBIT</w:t>
              </w:r>
            </w:hyperlink>
          </w:p>
        </w:tc>
        <w:tc>
          <w:tcPr>
            <w:tcW w:w="0" w:type="auto"/>
            <w:tcBorders>
              <w:top w:val="single" w:sz="2" w:space="0" w:color="D4D4D4"/>
              <w:left w:val="single" w:sz="2" w:space="0" w:color="D4D4D4"/>
              <w:bottom w:val="single" w:sz="2" w:space="0" w:color="D4D4D4"/>
              <w:right w:val="single" w:sz="2" w:space="0" w:color="D4D4D4"/>
            </w:tcBorders>
            <w:shd w:val="clear" w:color="auto" w:fill="FFFFFF"/>
            <w:tcMar>
              <w:top w:w="105" w:type="dxa"/>
              <w:left w:w="105" w:type="dxa"/>
              <w:bottom w:w="105" w:type="dxa"/>
              <w:right w:w="105" w:type="dxa"/>
            </w:tcMar>
            <w:hideMark/>
          </w:tcPr>
          <w:p w:rsidR="005D301F" w:rsidRPr="005D301F" w:rsidRDefault="005D301F" w:rsidP="005D301F">
            <w:pPr>
              <w:spacing w:after="0" w:line="240" w:lineRule="auto"/>
              <w:rPr>
                <w:rFonts w:ascii="Helvetica" w:eastAsia="Times New Roman" w:hAnsi="Helvetica" w:cs="Helvetica"/>
                <w:color w:val="424545"/>
                <w:sz w:val="18"/>
                <w:szCs w:val="18"/>
              </w:rPr>
            </w:pPr>
            <w:r w:rsidRPr="005D301F">
              <w:rPr>
                <w:rFonts w:ascii="Helvetica" w:eastAsia="Times New Roman" w:hAnsi="Helvetica" w:cs="Helvetica"/>
                <w:color w:val="424545"/>
                <w:sz w:val="18"/>
                <w:szCs w:val="18"/>
              </w:rPr>
              <w:t>Overview of three main criteria for determining UBIT income.</w:t>
            </w:r>
          </w:p>
        </w:tc>
      </w:tr>
      <w:tr w:rsidR="005D301F" w:rsidRPr="005D301F" w:rsidTr="005D301F">
        <w:tc>
          <w:tcPr>
            <w:tcW w:w="0" w:type="auto"/>
            <w:tcBorders>
              <w:top w:val="single" w:sz="2" w:space="0" w:color="D4D4D4"/>
              <w:left w:val="single" w:sz="2" w:space="0" w:color="D4D4D4"/>
              <w:bottom w:val="single" w:sz="2" w:space="0" w:color="D4D4D4"/>
              <w:right w:val="single" w:sz="2" w:space="0" w:color="D4D4D4"/>
            </w:tcBorders>
            <w:shd w:val="clear" w:color="auto" w:fill="FFFFFF"/>
            <w:tcMar>
              <w:top w:w="105" w:type="dxa"/>
              <w:left w:w="105" w:type="dxa"/>
              <w:bottom w:w="105" w:type="dxa"/>
              <w:right w:w="105" w:type="dxa"/>
            </w:tcMar>
            <w:hideMark/>
          </w:tcPr>
          <w:p w:rsidR="005D301F" w:rsidRPr="005D301F" w:rsidRDefault="005D301F" w:rsidP="005D301F">
            <w:pPr>
              <w:spacing w:after="0" w:line="240" w:lineRule="auto"/>
              <w:rPr>
                <w:rFonts w:ascii="Helvetica" w:eastAsia="Times New Roman" w:hAnsi="Helvetica" w:cs="Helvetica"/>
                <w:color w:val="424545"/>
                <w:sz w:val="18"/>
                <w:szCs w:val="18"/>
              </w:rPr>
            </w:pPr>
          </w:p>
        </w:tc>
        <w:tc>
          <w:tcPr>
            <w:tcW w:w="0" w:type="auto"/>
            <w:tcBorders>
              <w:top w:val="single" w:sz="2" w:space="0" w:color="D4D4D4"/>
              <w:left w:val="single" w:sz="2" w:space="0" w:color="D4D4D4"/>
              <w:bottom w:val="single" w:sz="2" w:space="0" w:color="D4D4D4"/>
              <w:right w:val="single" w:sz="2" w:space="0" w:color="D4D4D4"/>
            </w:tcBorders>
            <w:shd w:val="clear" w:color="auto" w:fill="FFFFFF"/>
            <w:tcMar>
              <w:top w:w="105" w:type="dxa"/>
              <w:left w:w="105" w:type="dxa"/>
              <w:bottom w:w="105" w:type="dxa"/>
              <w:right w:w="105" w:type="dxa"/>
            </w:tcMar>
            <w:hideMark/>
          </w:tcPr>
          <w:p w:rsidR="005D301F" w:rsidRPr="005D301F" w:rsidRDefault="005D301F" w:rsidP="005D301F">
            <w:pPr>
              <w:spacing w:after="0" w:line="240" w:lineRule="auto"/>
              <w:rPr>
                <w:rFonts w:ascii="Helvetica" w:eastAsia="Times New Roman" w:hAnsi="Helvetica" w:cs="Helvetica"/>
                <w:color w:val="424545"/>
                <w:sz w:val="18"/>
                <w:szCs w:val="18"/>
              </w:rPr>
            </w:pPr>
            <w:hyperlink r:id="rId9" w:tooltip="Deductions" w:history="1">
              <w:r w:rsidRPr="005D301F">
                <w:rPr>
                  <w:rFonts w:ascii="Helvetica" w:eastAsia="Times New Roman" w:hAnsi="Helvetica" w:cs="Helvetica"/>
                  <w:color w:val="7D110C"/>
                  <w:sz w:val="18"/>
                  <w:szCs w:val="18"/>
                  <w:u w:val="single"/>
                  <w:bdr w:val="none" w:sz="0" w:space="0" w:color="auto" w:frame="1"/>
                </w:rPr>
                <w:t>Deductions for UBIT</w:t>
              </w:r>
            </w:hyperlink>
          </w:p>
        </w:tc>
        <w:tc>
          <w:tcPr>
            <w:tcW w:w="0" w:type="auto"/>
            <w:tcBorders>
              <w:top w:val="single" w:sz="2" w:space="0" w:color="D4D4D4"/>
              <w:left w:val="single" w:sz="2" w:space="0" w:color="D4D4D4"/>
              <w:bottom w:val="single" w:sz="2" w:space="0" w:color="D4D4D4"/>
              <w:right w:val="single" w:sz="2" w:space="0" w:color="D4D4D4"/>
            </w:tcBorders>
            <w:shd w:val="clear" w:color="auto" w:fill="FFFFFF"/>
            <w:tcMar>
              <w:top w:w="105" w:type="dxa"/>
              <w:left w:w="105" w:type="dxa"/>
              <w:bottom w:w="105" w:type="dxa"/>
              <w:right w:w="105" w:type="dxa"/>
            </w:tcMar>
            <w:hideMark/>
          </w:tcPr>
          <w:p w:rsidR="005D301F" w:rsidRPr="005D301F" w:rsidRDefault="005D301F" w:rsidP="005D301F">
            <w:pPr>
              <w:spacing w:after="0" w:line="240" w:lineRule="auto"/>
              <w:rPr>
                <w:rFonts w:ascii="Helvetica" w:eastAsia="Times New Roman" w:hAnsi="Helvetica" w:cs="Helvetica"/>
                <w:color w:val="424545"/>
                <w:sz w:val="18"/>
                <w:szCs w:val="18"/>
              </w:rPr>
            </w:pPr>
            <w:r w:rsidRPr="005D301F">
              <w:rPr>
                <w:rFonts w:ascii="Helvetica" w:eastAsia="Times New Roman" w:hAnsi="Helvetica" w:cs="Helvetica"/>
                <w:color w:val="424545"/>
                <w:sz w:val="18"/>
                <w:szCs w:val="18"/>
              </w:rPr>
              <w:t>Criteria for the allowable expenses to take against UBIT.</w:t>
            </w:r>
          </w:p>
        </w:tc>
      </w:tr>
      <w:tr w:rsidR="005D301F" w:rsidRPr="005D301F" w:rsidTr="005D301F">
        <w:tc>
          <w:tcPr>
            <w:tcW w:w="0" w:type="auto"/>
            <w:tcBorders>
              <w:top w:val="single" w:sz="2" w:space="0" w:color="D4D4D4"/>
              <w:left w:val="single" w:sz="2" w:space="0" w:color="D4D4D4"/>
              <w:bottom w:val="single" w:sz="2" w:space="0" w:color="D4D4D4"/>
              <w:right w:val="single" w:sz="2" w:space="0" w:color="D4D4D4"/>
            </w:tcBorders>
            <w:shd w:val="clear" w:color="auto" w:fill="FFFFFF"/>
            <w:tcMar>
              <w:top w:w="105" w:type="dxa"/>
              <w:left w:w="105" w:type="dxa"/>
              <w:bottom w:w="105" w:type="dxa"/>
              <w:right w:w="105" w:type="dxa"/>
            </w:tcMar>
            <w:hideMark/>
          </w:tcPr>
          <w:p w:rsidR="005D301F" w:rsidRPr="005D301F" w:rsidRDefault="005D301F" w:rsidP="005D301F">
            <w:pPr>
              <w:spacing w:after="0" w:line="240" w:lineRule="auto"/>
              <w:rPr>
                <w:rFonts w:ascii="Helvetica" w:eastAsia="Times New Roman" w:hAnsi="Helvetica" w:cs="Helvetica"/>
                <w:color w:val="424545"/>
                <w:sz w:val="18"/>
                <w:szCs w:val="18"/>
              </w:rPr>
            </w:pPr>
          </w:p>
        </w:tc>
        <w:tc>
          <w:tcPr>
            <w:tcW w:w="0" w:type="auto"/>
            <w:tcBorders>
              <w:top w:val="single" w:sz="2" w:space="0" w:color="D4D4D4"/>
              <w:left w:val="single" w:sz="2" w:space="0" w:color="D4D4D4"/>
              <w:bottom w:val="single" w:sz="2" w:space="0" w:color="D4D4D4"/>
              <w:right w:val="single" w:sz="2" w:space="0" w:color="D4D4D4"/>
            </w:tcBorders>
            <w:shd w:val="clear" w:color="auto" w:fill="FFFFFF"/>
            <w:tcMar>
              <w:top w:w="105" w:type="dxa"/>
              <w:left w:w="105" w:type="dxa"/>
              <w:bottom w:w="105" w:type="dxa"/>
              <w:right w:w="105" w:type="dxa"/>
            </w:tcMar>
            <w:hideMark/>
          </w:tcPr>
          <w:p w:rsidR="005D301F" w:rsidRPr="005D301F" w:rsidRDefault="005D301F" w:rsidP="005D301F">
            <w:pPr>
              <w:spacing w:after="0" w:line="240" w:lineRule="auto"/>
              <w:rPr>
                <w:rFonts w:ascii="Helvetica" w:eastAsia="Times New Roman" w:hAnsi="Helvetica" w:cs="Helvetica"/>
                <w:color w:val="424545"/>
                <w:sz w:val="18"/>
                <w:szCs w:val="18"/>
              </w:rPr>
            </w:pPr>
            <w:hyperlink r:id="rId10" w:tooltip="Definition" w:history="1">
              <w:r w:rsidRPr="005D301F">
                <w:rPr>
                  <w:rFonts w:ascii="Helvetica" w:eastAsia="Times New Roman" w:hAnsi="Helvetica" w:cs="Helvetica"/>
                  <w:color w:val="7D110C"/>
                  <w:sz w:val="18"/>
                  <w:szCs w:val="18"/>
                  <w:u w:val="single"/>
                  <w:bdr w:val="none" w:sz="0" w:space="0" w:color="auto" w:frame="1"/>
                </w:rPr>
                <w:t>UBIT Unrelated and Related Determination Matrix</w:t>
              </w:r>
            </w:hyperlink>
          </w:p>
        </w:tc>
        <w:tc>
          <w:tcPr>
            <w:tcW w:w="0" w:type="auto"/>
            <w:tcBorders>
              <w:top w:val="single" w:sz="2" w:space="0" w:color="D4D4D4"/>
              <w:left w:val="single" w:sz="2" w:space="0" w:color="D4D4D4"/>
              <w:bottom w:val="single" w:sz="2" w:space="0" w:color="D4D4D4"/>
              <w:right w:val="single" w:sz="2" w:space="0" w:color="D4D4D4"/>
            </w:tcBorders>
            <w:shd w:val="clear" w:color="auto" w:fill="FFFFFF"/>
            <w:tcMar>
              <w:top w:w="105" w:type="dxa"/>
              <w:left w:w="105" w:type="dxa"/>
              <w:bottom w:w="105" w:type="dxa"/>
              <w:right w:w="105" w:type="dxa"/>
            </w:tcMar>
            <w:hideMark/>
          </w:tcPr>
          <w:p w:rsidR="005D301F" w:rsidRPr="005D301F" w:rsidRDefault="005D301F" w:rsidP="005D301F">
            <w:pPr>
              <w:spacing w:after="0" w:line="240" w:lineRule="auto"/>
              <w:rPr>
                <w:rFonts w:ascii="Helvetica" w:eastAsia="Times New Roman" w:hAnsi="Helvetica" w:cs="Helvetica"/>
                <w:color w:val="424545"/>
                <w:sz w:val="18"/>
                <w:szCs w:val="18"/>
              </w:rPr>
            </w:pPr>
            <w:r w:rsidRPr="005D301F">
              <w:rPr>
                <w:rFonts w:ascii="Helvetica" w:eastAsia="Times New Roman" w:hAnsi="Helvetica" w:cs="Helvetica"/>
                <w:color w:val="424545"/>
                <w:sz w:val="18"/>
                <w:szCs w:val="18"/>
              </w:rPr>
              <w:t>A matrix categorizing different activities as unrelated and related income.</w:t>
            </w:r>
          </w:p>
        </w:tc>
      </w:tr>
      <w:tr w:rsidR="005D301F" w:rsidRPr="005D301F" w:rsidTr="005D301F">
        <w:tc>
          <w:tcPr>
            <w:tcW w:w="0" w:type="auto"/>
            <w:tcBorders>
              <w:top w:val="single" w:sz="2" w:space="0" w:color="D4D4D4"/>
              <w:left w:val="single" w:sz="2" w:space="0" w:color="D4D4D4"/>
              <w:bottom w:val="single" w:sz="2" w:space="0" w:color="D4D4D4"/>
              <w:right w:val="single" w:sz="2" w:space="0" w:color="D4D4D4"/>
            </w:tcBorders>
            <w:shd w:val="clear" w:color="auto" w:fill="FFFFFF"/>
            <w:tcMar>
              <w:top w:w="105" w:type="dxa"/>
              <w:left w:w="105" w:type="dxa"/>
              <w:bottom w:w="105" w:type="dxa"/>
              <w:right w:w="105" w:type="dxa"/>
            </w:tcMar>
            <w:hideMark/>
          </w:tcPr>
          <w:p w:rsidR="005D301F" w:rsidRPr="005D301F" w:rsidRDefault="005D301F" w:rsidP="005D301F">
            <w:pPr>
              <w:spacing w:after="0" w:line="240" w:lineRule="auto"/>
              <w:rPr>
                <w:rFonts w:ascii="Helvetica" w:eastAsia="Times New Roman" w:hAnsi="Helvetica" w:cs="Helvetica"/>
                <w:color w:val="424545"/>
                <w:sz w:val="18"/>
                <w:szCs w:val="18"/>
              </w:rPr>
            </w:pPr>
          </w:p>
        </w:tc>
        <w:tc>
          <w:tcPr>
            <w:tcW w:w="0" w:type="auto"/>
            <w:tcBorders>
              <w:top w:val="single" w:sz="2" w:space="0" w:color="D4D4D4"/>
              <w:left w:val="single" w:sz="2" w:space="0" w:color="D4D4D4"/>
              <w:bottom w:val="single" w:sz="2" w:space="0" w:color="D4D4D4"/>
              <w:right w:val="single" w:sz="2" w:space="0" w:color="D4D4D4"/>
            </w:tcBorders>
            <w:shd w:val="clear" w:color="auto" w:fill="FFFFFF"/>
            <w:tcMar>
              <w:top w:w="105" w:type="dxa"/>
              <w:left w:w="105" w:type="dxa"/>
              <w:bottom w:w="105" w:type="dxa"/>
              <w:right w:w="105" w:type="dxa"/>
            </w:tcMar>
            <w:hideMark/>
          </w:tcPr>
          <w:p w:rsidR="005D301F" w:rsidRPr="005D301F" w:rsidRDefault="005D301F" w:rsidP="005D301F">
            <w:pPr>
              <w:spacing w:after="0" w:line="240" w:lineRule="auto"/>
              <w:rPr>
                <w:rFonts w:ascii="Helvetica" w:eastAsia="Times New Roman" w:hAnsi="Helvetica" w:cs="Helvetica"/>
                <w:color w:val="424545"/>
                <w:sz w:val="18"/>
                <w:szCs w:val="18"/>
              </w:rPr>
            </w:pPr>
            <w:hyperlink r:id="rId11" w:tooltip="Examples" w:history="1">
              <w:r w:rsidRPr="005D301F">
                <w:rPr>
                  <w:rFonts w:ascii="Helvetica" w:eastAsia="Times New Roman" w:hAnsi="Helvetica" w:cs="Helvetica"/>
                  <w:color w:val="7D110C"/>
                  <w:sz w:val="18"/>
                  <w:szCs w:val="18"/>
                  <w:u w:val="single"/>
                  <w:bdr w:val="none" w:sz="0" w:space="0" w:color="auto" w:frame="1"/>
                </w:rPr>
                <w:t>Examples of UBIT</w:t>
              </w:r>
            </w:hyperlink>
          </w:p>
        </w:tc>
        <w:tc>
          <w:tcPr>
            <w:tcW w:w="0" w:type="auto"/>
            <w:tcBorders>
              <w:top w:val="single" w:sz="2" w:space="0" w:color="D4D4D4"/>
              <w:left w:val="single" w:sz="2" w:space="0" w:color="D4D4D4"/>
              <w:bottom w:val="single" w:sz="2" w:space="0" w:color="D4D4D4"/>
              <w:right w:val="single" w:sz="2" w:space="0" w:color="D4D4D4"/>
            </w:tcBorders>
            <w:shd w:val="clear" w:color="auto" w:fill="FFFFFF"/>
            <w:tcMar>
              <w:top w:w="105" w:type="dxa"/>
              <w:left w:w="105" w:type="dxa"/>
              <w:bottom w:w="105" w:type="dxa"/>
              <w:right w:w="105" w:type="dxa"/>
            </w:tcMar>
            <w:hideMark/>
          </w:tcPr>
          <w:p w:rsidR="005D301F" w:rsidRPr="005D301F" w:rsidRDefault="005D301F" w:rsidP="005D301F">
            <w:pPr>
              <w:spacing w:after="0" w:line="240" w:lineRule="auto"/>
              <w:rPr>
                <w:rFonts w:ascii="Helvetica" w:eastAsia="Times New Roman" w:hAnsi="Helvetica" w:cs="Helvetica"/>
                <w:color w:val="424545"/>
                <w:sz w:val="18"/>
                <w:szCs w:val="18"/>
              </w:rPr>
            </w:pPr>
            <w:r w:rsidRPr="005D301F">
              <w:rPr>
                <w:rFonts w:ascii="Helvetica" w:eastAsia="Times New Roman" w:hAnsi="Helvetica" w:cs="Helvetica"/>
                <w:color w:val="424545"/>
                <w:sz w:val="18"/>
                <w:szCs w:val="18"/>
              </w:rPr>
              <w:t> A comprehensive list of UBIT income examples.</w:t>
            </w:r>
          </w:p>
        </w:tc>
      </w:tr>
      <w:tr w:rsidR="005D301F" w:rsidRPr="005D301F" w:rsidTr="00F72D53">
        <w:tc>
          <w:tcPr>
            <w:tcW w:w="0" w:type="auto"/>
            <w:tcBorders>
              <w:top w:val="single" w:sz="2" w:space="0" w:color="D4D4D4"/>
              <w:left w:val="single" w:sz="2" w:space="0" w:color="D4D4D4"/>
              <w:bottom w:val="single" w:sz="2" w:space="0" w:color="D4D4D4"/>
              <w:right w:val="single" w:sz="2" w:space="0" w:color="D4D4D4"/>
            </w:tcBorders>
            <w:shd w:val="clear" w:color="auto" w:fill="FFFFFF"/>
            <w:tcMar>
              <w:top w:w="105" w:type="dxa"/>
              <w:left w:w="105" w:type="dxa"/>
              <w:bottom w:w="105" w:type="dxa"/>
              <w:right w:w="105" w:type="dxa"/>
            </w:tcMar>
          </w:tcPr>
          <w:p w:rsidR="005D301F" w:rsidRPr="005D301F" w:rsidRDefault="005D301F" w:rsidP="005D301F">
            <w:pPr>
              <w:spacing w:after="0" w:line="240" w:lineRule="auto"/>
              <w:rPr>
                <w:rFonts w:ascii="Helvetica" w:eastAsia="Times New Roman" w:hAnsi="Helvetica" w:cs="Helvetica"/>
                <w:color w:val="424545"/>
                <w:sz w:val="18"/>
                <w:szCs w:val="18"/>
              </w:rPr>
            </w:pPr>
          </w:p>
        </w:tc>
        <w:tc>
          <w:tcPr>
            <w:tcW w:w="0" w:type="auto"/>
            <w:tcBorders>
              <w:top w:val="single" w:sz="2" w:space="0" w:color="D4D4D4"/>
              <w:left w:val="single" w:sz="2" w:space="0" w:color="D4D4D4"/>
              <w:bottom w:val="single" w:sz="2" w:space="0" w:color="D4D4D4"/>
              <w:right w:val="single" w:sz="2" w:space="0" w:color="D4D4D4"/>
            </w:tcBorders>
            <w:shd w:val="clear" w:color="auto" w:fill="FFFFFF"/>
            <w:tcMar>
              <w:top w:w="105" w:type="dxa"/>
              <w:left w:w="105" w:type="dxa"/>
              <w:bottom w:w="105" w:type="dxa"/>
              <w:right w:w="105" w:type="dxa"/>
            </w:tcMar>
            <w:hideMark/>
          </w:tcPr>
          <w:p w:rsidR="005D301F" w:rsidRPr="005D301F" w:rsidRDefault="005D301F" w:rsidP="005D301F">
            <w:pPr>
              <w:spacing w:after="0" w:line="240" w:lineRule="auto"/>
              <w:rPr>
                <w:rFonts w:ascii="Helvetica" w:eastAsia="Times New Roman" w:hAnsi="Helvetica" w:cs="Helvetica"/>
                <w:color w:val="424545"/>
                <w:sz w:val="18"/>
                <w:szCs w:val="18"/>
              </w:rPr>
            </w:pPr>
            <w:hyperlink r:id="rId12" w:tooltip="Exceptions to UBIT" w:history="1">
              <w:r w:rsidRPr="005D301F">
                <w:rPr>
                  <w:rFonts w:ascii="Helvetica" w:eastAsia="Times New Roman" w:hAnsi="Helvetica" w:cs="Helvetica"/>
                  <w:color w:val="7D110C"/>
                  <w:sz w:val="18"/>
                  <w:szCs w:val="18"/>
                  <w:u w:val="single"/>
                  <w:bdr w:val="none" w:sz="0" w:space="0" w:color="auto" w:frame="1"/>
                </w:rPr>
                <w:t>Exceptions to UBIT</w:t>
              </w:r>
            </w:hyperlink>
          </w:p>
        </w:tc>
        <w:tc>
          <w:tcPr>
            <w:tcW w:w="0" w:type="auto"/>
            <w:tcBorders>
              <w:top w:val="single" w:sz="2" w:space="0" w:color="D4D4D4"/>
              <w:left w:val="single" w:sz="2" w:space="0" w:color="D4D4D4"/>
              <w:bottom w:val="single" w:sz="2" w:space="0" w:color="D4D4D4"/>
              <w:right w:val="single" w:sz="2" w:space="0" w:color="D4D4D4"/>
            </w:tcBorders>
            <w:shd w:val="clear" w:color="auto" w:fill="FFFFFF"/>
            <w:tcMar>
              <w:top w:w="105" w:type="dxa"/>
              <w:left w:w="105" w:type="dxa"/>
              <w:bottom w:w="105" w:type="dxa"/>
              <w:right w:w="105" w:type="dxa"/>
            </w:tcMar>
            <w:hideMark/>
          </w:tcPr>
          <w:p w:rsidR="005D301F" w:rsidRPr="005D301F" w:rsidRDefault="005D301F" w:rsidP="005D301F">
            <w:pPr>
              <w:spacing w:after="0" w:line="240" w:lineRule="auto"/>
              <w:rPr>
                <w:rFonts w:ascii="Helvetica" w:eastAsia="Times New Roman" w:hAnsi="Helvetica" w:cs="Helvetica"/>
                <w:color w:val="424545"/>
                <w:sz w:val="18"/>
                <w:szCs w:val="18"/>
              </w:rPr>
            </w:pPr>
            <w:r w:rsidRPr="005D301F">
              <w:rPr>
                <w:rFonts w:ascii="Helvetica" w:eastAsia="Times New Roman" w:hAnsi="Helvetica" w:cs="Helvetica"/>
                <w:color w:val="424545"/>
                <w:sz w:val="18"/>
                <w:szCs w:val="18"/>
              </w:rPr>
              <w:t>A quick list of all the exceptions to UBIT and helpful definitions.</w:t>
            </w:r>
          </w:p>
        </w:tc>
      </w:tr>
    </w:tbl>
    <w:p w:rsidR="0052647E" w:rsidRDefault="0052647E"/>
    <w:sectPr w:rsidR="00526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1F"/>
    <w:rsid w:val="0052647E"/>
    <w:rsid w:val="005D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9396"/>
  <w15:chartTrackingRefBased/>
  <w15:docId w15:val="{9918F9D7-708C-446C-BC63-4B7C8FA5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30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01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D30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301F"/>
    <w:rPr>
      <w:b/>
      <w:bCs/>
    </w:rPr>
  </w:style>
  <w:style w:type="character" w:styleId="Hyperlink">
    <w:name w:val="Hyperlink"/>
    <w:basedOn w:val="DefaultParagraphFont"/>
    <w:uiPriority w:val="99"/>
    <w:unhideWhenUsed/>
    <w:rsid w:val="005D30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61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oller.iu.edu/compliance/form-librar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ld.fms.iu.edu/tax/about-us/contact-us/" TargetMode="External"/><Relationship Id="rId12" Type="http://schemas.openxmlformats.org/officeDocument/2006/relationships/hyperlink" Target="https://controller.iu.edu/compliance/form-libra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troller.iu.edu/contact" TargetMode="External"/><Relationship Id="rId11" Type="http://schemas.openxmlformats.org/officeDocument/2006/relationships/hyperlink" Target="https://controller.iu.edu/compliance/form-library" TargetMode="External"/><Relationship Id="rId5" Type="http://schemas.openxmlformats.org/officeDocument/2006/relationships/hyperlink" Target="https://apps4.indiana.edu/VPGA_RPA_V1_Online/Default.aspx" TargetMode="External"/><Relationship Id="rId10" Type="http://schemas.openxmlformats.org/officeDocument/2006/relationships/hyperlink" Target="https://controller.iu.edu/compliance/form-library" TargetMode="External"/><Relationship Id="rId4" Type="http://schemas.openxmlformats.org/officeDocument/2006/relationships/hyperlink" Target="https://policies.iu.edu/policies/fin-tre-121-establishing-modifying-revenue-producing-activities1/index.html" TargetMode="External"/><Relationship Id="rId9" Type="http://schemas.openxmlformats.org/officeDocument/2006/relationships/hyperlink" Target="https://controller.iu.edu/compliance/form-libra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Seifert, Andrea Tabler</dc:creator>
  <cp:keywords/>
  <dc:description/>
  <cp:lastModifiedBy>Seifert, Andrea Tabler</cp:lastModifiedBy>
  <cp:revision>1</cp:revision>
  <dcterms:created xsi:type="dcterms:W3CDTF">2020-10-07T17:22:00Z</dcterms:created>
  <dcterms:modified xsi:type="dcterms:W3CDTF">2020-10-07T17:26:00Z</dcterms:modified>
</cp:coreProperties>
</file>