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CE6" w:rsidRPr="00174CE6" w:rsidRDefault="00174CE6" w:rsidP="00174CE6">
      <w:pPr>
        <w:shd w:val="clear" w:color="auto" w:fill="FFFFFF"/>
        <w:spacing w:after="0" w:line="240" w:lineRule="auto"/>
        <w:textAlignment w:val="baseline"/>
        <w:outlineLvl w:val="0"/>
        <w:rPr>
          <w:rFonts w:ascii="Helvetica" w:eastAsia="Times New Roman" w:hAnsi="Helvetica" w:cs="Helvetica"/>
          <w:b/>
          <w:bCs/>
          <w:color w:val="7D110C"/>
          <w:kern w:val="36"/>
          <w:sz w:val="27"/>
          <w:szCs w:val="27"/>
        </w:rPr>
      </w:pPr>
      <w:r w:rsidRPr="00174CE6">
        <w:rPr>
          <w:rFonts w:ascii="Helvetica" w:eastAsia="Times New Roman" w:hAnsi="Helvetica" w:cs="Helvetica"/>
          <w:b/>
          <w:bCs/>
          <w:color w:val="7D110C"/>
          <w:kern w:val="36"/>
          <w:sz w:val="27"/>
          <w:szCs w:val="27"/>
          <w:bdr w:val="none" w:sz="0" w:space="0" w:color="auto" w:frame="1"/>
        </w:rPr>
        <w:t>Indiana Sale Tax Purchases Matrix</w:t>
      </w:r>
    </w:p>
    <w:p w:rsidR="00174CE6" w:rsidRP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r w:rsidRPr="00174CE6">
        <w:rPr>
          <w:rFonts w:ascii="Helvetica" w:eastAsia="Times New Roman" w:hAnsi="Helvetica" w:cs="Helvetica"/>
          <w:b/>
          <w:bCs/>
          <w:color w:val="424545"/>
          <w:sz w:val="18"/>
          <w:szCs w:val="18"/>
          <w:bdr w:val="none" w:sz="0" w:space="0" w:color="auto" w:frame="1"/>
        </w:rPr>
        <w:t>Sales tax </w:t>
      </w:r>
      <w:r w:rsidRPr="00174CE6">
        <w:rPr>
          <w:rFonts w:ascii="Helvetica" w:eastAsia="Times New Roman" w:hAnsi="Helvetica" w:cs="Helvetica"/>
          <w:b/>
          <w:bCs/>
          <w:i/>
          <w:iCs/>
          <w:color w:val="424545"/>
          <w:sz w:val="18"/>
          <w:szCs w:val="18"/>
          <w:bdr w:val="none" w:sz="0" w:space="0" w:color="auto" w:frame="1"/>
        </w:rPr>
        <w:t>paid by IU</w:t>
      </w:r>
      <w:r w:rsidRPr="00174CE6">
        <w:rPr>
          <w:rFonts w:ascii="Helvetica" w:eastAsia="Times New Roman" w:hAnsi="Helvetica" w:cs="Helvetica"/>
          <w:b/>
          <w:bCs/>
          <w:color w:val="424545"/>
          <w:sz w:val="18"/>
          <w:szCs w:val="18"/>
          <w:bdr w:val="none" w:sz="0" w:space="0" w:color="auto" w:frame="1"/>
        </w:rPr>
        <w:t> on purchases of goods and services.</w:t>
      </w:r>
      <w:r w:rsidRPr="00174CE6">
        <w:rPr>
          <w:rFonts w:ascii="Helvetica" w:eastAsia="Times New Roman" w:hAnsi="Helvetica" w:cs="Helvetica"/>
          <w:b/>
          <w:bCs/>
          <w:color w:val="424545"/>
          <w:sz w:val="18"/>
          <w:szCs w:val="18"/>
          <w:bdr w:val="none" w:sz="0" w:space="0" w:color="auto" w:frame="1"/>
        </w:rPr>
        <w:br/>
        <w:t>Example: Certain situations are tax exempt based on IU's Tax Status in Indiana.</w:t>
      </w:r>
    </w:p>
    <w:p w:rsidR="00174CE6" w:rsidRPr="00174CE6" w:rsidRDefault="00174CE6" w:rsidP="00174CE6">
      <w:pPr>
        <w:spacing w:before="150" w:after="150" w:line="240" w:lineRule="auto"/>
        <w:rPr>
          <w:rFonts w:ascii="Times New Roman" w:eastAsia="Times New Roman" w:hAnsi="Times New Roman" w:cs="Times New Roman"/>
          <w:sz w:val="24"/>
          <w:szCs w:val="24"/>
        </w:rPr>
      </w:pPr>
      <w:r w:rsidRPr="00174CE6">
        <w:rPr>
          <w:rFonts w:ascii="Times New Roman" w:eastAsia="Times New Roman" w:hAnsi="Times New Roman" w:cs="Times New Roman"/>
          <w:sz w:val="24"/>
          <w:szCs w:val="24"/>
        </w:rPr>
        <w:pict>
          <v:rect id="_x0000_i1025" style="width:0;height:10.5pt" o:hrstd="t" o:hrnoshade="t" o:hr="t" fillcolor="#424545" stroked="f"/>
        </w:pict>
      </w:r>
    </w:p>
    <w:p w:rsid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In order for the university to receive exemption from Indiana sales tax, the purchaser must provide the Indiana University </w:t>
      </w:r>
      <w:hyperlink r:id="rId5" w:tooltip="IN Exemption Certificate" w:history="1">
        <w:r w:rsidRPr="00174CE6">
          <w:rPr>
            <w:rFonts w:ascii="Helvetica" w:eastAsia="Times New Roman" w:hAnsi="Helvetica" w:cs="Helvetica"/>
            <w:color w:val="7D110C"/>
            <w:sz w:val="18"/>
            <w:szCs w:val="18"/>
            <w:u w:val="single"/>
            <w:bdr w:val="none" w:sz="0" w:space="0" w:color="auto" w:frame="1"/>
          </w:rPr>
          <w:t>ST-105</w:t>
        </w:r>
      </w:hyperlink>
      <w:r w:rsidRPr="00174CE6">
        <w:rPr>
          <w:rFonts w:ascii="Helvetica" w:eastAsia="Times New Roman" w:hAnsi="Helvetica" w:cs="Helvetica"/>
          <w:color w:val="424545"/>
          <w:sz w:val="18"/>
          <w:szCs w:val="18"/>
        </w:rPr>
        <w:t> to the seller.  The ST-105 is an official certificate from the state of Indiana which serves as proof of Indiana University's sales tax exempt status. The purchase must also be:</w:t>
      </w:r>
    </w:p>
    <w:p w:rsidR="00174CE6" w:rsidRP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p>
    <w:p w:rsidR="00174CE6" w:rsidRPr="00174CE6" w:rsidRDefault="00174CE6" w:rsidP="00174CE6">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invoiced directly to Indiana University;</w:t>
      </w:r>
    </w:p>
    <w:p w:rsidR="00174CE6" w:rsidRPr="00174CE6" w:rsidRDefault="00174CE6" w:rsidP="00174CE6">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paid for via University funds (e.g. –wire, check, P-Card);</w:t>
      </w:r>
    </w:p>
    <w:p w:rsidR="00174CE6" w:rsidRPr="00174CE6" w:rsidRDefault="00174CE6" w:rsidP="00174CE6">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and for a governmental function (defined below) and not a proprietary activity</w:t>
      </w:r>
    </w:p>
    <w:p w:rsidR="0052647E" w:rsidRDefault="0052647E"/>
    <w:p w:rsidR="00174CE6" w:rsidRDefault="00174CE6">
      <w:pPr>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 xml:space="preserve">See </w:t>
      </w:r>
      <w:hyperlink r:id="rId6" w:history="1">
        <w:r w:rsidRPr="00174CE6">
          <w:rPr>
            <w:rStyle w:val="Hyperlink"/>
            <w:rFonts w:ascii="Helvetica" w:eastAsia="Times New Roman" w:hAnsi="Helvetica" w:cs="Helvetica"/>
            <w:color w:val="C00000"/>
            <w:sz w:val="18"/>
            <w:szCs w:val="18"/>
          </w:rPr>
          <w:t xml:space="preserve">Indiana State Sale Tax Purchase Matrix </w:t>
        </w:r>
      </w:hyperlink>
      <w:r w:rsidRPr="00174CE6">
        <w:rPr>
          <w:rFonts w:ascii="Helvetica" w:eastAsia="Times New Roman" w:hAnsi="Helvetica" w:cs="Helvetica"/>
          <w:color w:val="424545"/>
          <w:sz w:val="18"/>
          <w:szCs w:val="18"/>
        </w:rPr>
        <w:t xml:space="preserve">for further explanation. </w:t>
      </w:r>
    </w:p>
    <w:p w:rsidR="00174CE6" w:rsidRDefault="00174CE6" w:rsidP="00174CE6">
      <w:pPr>
        <w:shd w:val="clear" w:color="auto" w:fill="FFFFFF"/>
        <w:spacing w:after="150" w:line="240" w:lineRule="auto"/>
        <w:textAlignment w:val="baseline"/>
        <w:rPr>
          <w:rFonts w:ascii="Helvetica" w:eastAsia="Times New Roman" w:hAnsi="Helvetica" w:cs="Helvetica"/>
          <w:b/>
          <w:bCs/>
          <w:color w:val="7D110C"/>
          <w:sz w:val="23"/>
          <w:szCs w:val="23"/>
        </w:rPr>
      </w:pPr>
    </w:p>
    <w:p w:rsidR="00174CE6" w:rsidRPr="00174CE6" w:rsidRDefault="00174CE6" w:rsidP="00174CE6">
      <w:pPr>
        <w:shd w:val="clear" w:color="auto" w:fill="FFFFFF"/>
        <w:spacing w:after="150" w:line="240" w:lineRule="auto"/>
        <w:textAlignment w:val="baseline"/>
        <w:rPr>
          <w:rFonts w:ascii="Helvetica" w:eastAsia="Times New Roman" w:hAnsi="Helvetica" w:cs="Helvetica"/>
          <w:b/>
          <w:bCs/>
          <w:color w:val="7D110C"/>
          <w:sz w:val="23"/>
          <w:szCs w:val="23"/>
        </w:rPr>
      </w:pPr>
      <w:r w:rsidRPr="00174CE6">
        <w:rPr>
          <w:rFonts w:ascii="Helvetica" w:eastAsia="Times New Roman" w:hAnsi="Helvetica" w:cs="Helvetica"/>
          <w:b/>
          <w:bCs/>
          <w:color w:val="7D110C"/>
          <w:sz w:val="23"/>
          <w:szCs w:val="23"/>
        </w:rPr>
        <w:t>DEFINITIONS</w:t>
      </w:r>
    </w:p>
    <w:p w:rsidR="00174CE6" w:rsidRP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r w:rsidRPr="00174CE6">
        <w:rPr>
          <w:rFonts w:ascii="Helvetica" w:eastAsia="Times New Roman" w:hAnsi="Helvetica" w:cs="Helvetica"/>
          <w:b/>
          <w:bCs/>
          <w:color w:val="424545"/>
          <w:sz w:val="18"/>
          <w:szCs w:val="18"/>
          <w:bdr w:val="none" w:sz="0" w:space="0" w:color="auto" w:frame="1"/>
        </w:rPr>
        <w:t>Bundled Transaction:</w:t>
      </w:r>
      <w:r w:rsidRPr="00174CE6">
        <w:rPr>
          <w:rFonts w:ascii="Helvetica" w:eastAsia="Times New Roman" w:hAnsi="Helvetica" w:cs="Helvetica"/>
          <w:color w:val="424545"/>
          <w:sz w:val="18"/>
          <w:szCs w:val="18"/>
        </w:rPr>
        <w:t> Is a retail sale of two or more products, (except real property and services to real property) that are:</w:t>
      </w:r>
    </w:p>
    <w:p w:rsidR="00174CE6" w:rsidRPr="00174CE6" w:rsidRDefault="00174CE6" w:rsidP="00174CE6">
      <w:pPr>
        <w:numPr>
          <w:ilvl w:val="0"/>
          <w:numId w:val="2"/>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distinct;</w:t>
      </w:r>
    </w:p>
    <w:p w:rsidR="00174CE6" w:rsidRPr="00174CE6" w:rsidRDefault="00174CE6" w:rsidP="00174CE6">
      <w:pPr>
        <w:numPr>
          <w:ilvl w:val="0"/>
          <w:numId w:val="2"/>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identifiable; and</w:t>
      </w:r>
    </w:p>
    <w:p w:rsidR="00174CE6" w:rsidRDefault="00174CE6" w:rsidP="00174CE6">
      <w:pPr>
        <w:numPr>
          <w:ilvl w:val="0"/>
          <w:numId w:val="2"/>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sold for one non-itemized price</w:t>
      </w:r>
    </w:p>
    <w:p w:rsidR="00174CE6" w:rsidRPr="00174CE6" w:rsidRDefault="00174CE6" w:rsidP="00174CE6">
      <w:pPr>
        <w:shd w:val="clear" w:color="auto" w:fill="FFFFFF"/>
        <w:spacing w:before="75" w:after="0" w:line="240" w:lineRule="auto"/>
        <w:ind w:left="300"/>
        <w:textAlignment w:val="baseline"/>
        <w:rPr>
          <w:rFonts w:ascii="Helvetica" w:eastAsia="Times New Roman" w:hAnsi="Helvetica" w:cs="Helvetica"/>
          <w:color w:val="424545"/>
          <w:sz w:val="18"/>
          <w:szCs w:val="18"/>
        </w:rPr>
      </w:pPr>
    </w:p>
    <w:p w:rsidR="00174CE6" w:rsidRDefault="00174CE6" w:rsidP="00174CE6">
      <w:pPr>
        <w:shd w:val="clear" w:color="auto" w:fill="FFFFFF"/>
        <w:spacing w:after="0" w:line="240" w:lineRule="auto"/>
        <w:textAlignment w:val="baseline"/>
        <w:rPr>
          <w:rFonts w:ascii="Helvetica" w:eastAsia="Times New Roman" w:hAnsi="Helvetica" w:cs="Helvetica"/>
          <w:b/>
          <w:bCs/>
          <w:color w:val="424545"/>
          <w:sz w:val="18"/>
          <w:szCs w:val="18"/>
          <w:bdr w:val="none" w:sz="0" w:space="0" w:color="auto" w:frame="1"/>
        </w:rPr>
      </w:pPr>
      <w:r w:rsidRPr="00174CE6">
        <w:rPr>
          <w:rFonts w:ascii="Helvetica" w:eastAsia="Times New Roman" w:hAnsi="Helvetica" w:cs="Helvetica"/>
          <w:b/>
          <w:bCs/>
          <w:color w:val="424545"/>
          <w:sz w:val="18"/>
          <w:szCs w:val="18"/>
          <w:bdr w:val="none" w:sz="0" w:space="0" w:color="auto" w:frame="1"/>
        </w:rPr>
        <w:t>Governmental/Educational Function:</w:t>
      </w:r>
    </w:p>
    <w:p w:rsidR="00174CE6" w:rsidRP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p>
    <w:p w:rsidR="00174CE6" w:rsidRP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1. </w:t>
      </w:r>
      <w:r w:rsidRPr="00174CE6">
        <w:rPr>
          <w:rFonts w:ascii="Helvetica" w:eastAsia="Times New Roman" w:hAnsi="Helvetica" w:cs="Helvetica"/>
          <w:color w:val="424545"/>
          <w:sz w:val="18"/>
          <w:szCs w:val="18"/>
          <w:u w:val="single"/>
          <w:bdr w:val="none" w:sz="0" w:space="0" w:color="auto" w:frame="1"/>
        </w:rPr>
        <w:t>Teaching</w:t>
      </w:r>
      <w:r w:rsidRPr="00174CE6">
        <w:rPr>
          <w:rFonts w:ascii="Helvetica" w:eastAsia="Times New Roman" w:hAnsi="Helvetica" w:cs="Helvetica"/>
          <w:color w:val="424545"/>
          <w:sz w:val="18"/>
          <w:szCs w:val="18"/>
        </w:rPr>
        <w:t> and instruction that involves educating citizens, businesses, and institutions of the state through the use of conventional and electronic classroom facilities to provide:</w:t>
      </w:r>
    </w:p>
    <w:p w:rsidR="00174CE6" w:rsidRPr="00174CE6" w:rsidRDefault="00174CE6" w:rsidP="00174CE6">
      <w:pPr>
        <w:numPr>
          <w:ilvl w:val="0"/>
          <w:numId w:val="3"/>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Courses that grant credit toward the attainment of an undergraduate or a graduate degree;</w:t>
      </w:r>
    </w:p>
    <w:p w:rsidR="00174CE6" w:rsidRPr="00174CE6" w:rsidRDefault="00174CE6" w:rsidP="00174CE6">
      <w:pPr>
        <w:numPr>
          <w:ilvl w:val="0"/>
          <w:numId w:val="3"/>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Post-graduate practical training and instruction in academic disciplines offered by state universities;</w:t>
      </w:r>
    </w:p>
    <w:p w:rsidR="00174CE6" w:rsidRPr="00174CE6" w:rsidRDefault="00174CE6" w:rsidP="00174CE6">
      <w:pPr>
        <w:numPr>
          <w:ilvl w:val="0"/>
          <w:numId w:val="3"/>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Continuing education courses (non-credit);</w:t>
      </w:r>
    </w:p>
    <w:p w:rsidR="00174CE6" w:rsidRPr="00174CE6" w:rsidRDefault="00174CE6" w:rsidP="00174CE6">
      <w:pPr>
        <w:numPr>
          <w:ilvl w:val="0"/>
          <w:numId w:val="3"/>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Professional development activities; and</w:t>
      </w:r>
    </w:p>
    <w:p w:rsidR="00174CE6" w:rsidRDefault="00174CE6" w:rsidP="00174CE6">
      <w:pPr>
        <w:numPr>
          <w:ilvl w:val="0"/>
          <w:numId w:val="3"/>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Educational conferences, seminars, and training meetings.</w:t>
      </w:r>
    </w:p>
    <w:p w:rsidR="00174CE6" w:rsidRPr="00174CE6" w:rsidRDefault="00174CE6" w:rsidP="00174CE6">
      <w:pPr>
        <w:shd w:val="clear" w:color="auto" w:fill="FFFFFF"/>
        <w:spacing w:before="75" w:after="0" w:line="240" w:lineRule="auto"/>
        <w:ind w:left="300"/>
        <w:textAlignment w:val="baseline"/>
        <w:rPr>
          <w:rFonts w:ascii="Helvetica" w:eastAsia="Times New Roman" w:hAnsi="Helvetica" w:cs="Helvetica"/>
          <w:color w:val="424545"/>
          <w:sz w:val="18"/>
          <w:szCs w:val="18"/>
        </w:rPr>
      </w:pPr>
    </w:p>
    <w:p w:rsid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2. </w:t>
      </w:r>
      <w:r w:rsidRPr="00174CE6">
        <w:rPr>
          <w:rFonts w:ascii="Helvetica" w:eastAsia="Times New Roman" w:hAnsi="Helvetica" w:cs="Helvetica"/>
          <w:color w:val="424545"/>
          <w:sz w:val="18"/>
          <w:szCs w:val="18"/>
          <w:u w:val="single"/>
          <w:bdr w:val="none" w:sz="0" w:space="0" w:color="auto" w:frame="1"/>
        </w:rPr>
        <w:t>Research</w:t>
      </w:r>
      <w:r w:rsidRPr="00174CE6">
        <w:rPr>
          <w:rFonts w:ascii="Helvetica" w:eastAsia="Times New Roman" w:hAnsi="Helvetica" w:cs="Helvetica"/>
          <w:color w:val="424545"/>
          <w:sz w:val="18"/>
          <w:szCs w:val="18"/>
        </w:rPr>
        <w:t> that includes expanding the knowledge base of the citizens, businesses, and institutions of the state of Indiana through scientific inquiry and the dissemination of scholarly information. Activities associated with the fulfillment of this function include participation in laboratory and field research and the development and distribution of educational or research-related tools or materials that are published, copyrighted, or patented by a state college or university.</w:t>
      </w:r>
    </w:p>
    <w:p w:rsidR="00174CE6" w:rsidRP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p>
    <w:p w:rsid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3. </w:t>
      </w:r>
      <w:r w:rsidRPr="00174CE6">
        <w:rPr>
          <w:rFonts w:ascii="Helvetica" w:eastAsia="Times New Roman" w:hAnsi="Helvetica" w:cs="Helvetica"/>
          <w:color w:val="424545"/>
          <w:sz w:val="18"/>
          <w:szCs w:val="18"/>
          <w:u w:val="single"/>
          <w:bdr w:val="none" w:sz="0" w:space="0" w:color="auto" w:frame="1"/>
        </w:rPr>
        <w:t>Public service</w:t>
      </w:r>
      <w:r w:rsidRPr="00174CE6">
        <w:rPr>
          <w:rFonts w:ascii="Helvetica" w:eastAsia="Times New Roman" w:hAnsi="Helvetica" w:cs="Helvetica"/>
          <w:color w:val="424545"/>
          <w:sz w:val="18"/>
          <w:szCs w:val="18"/>
        </w:rPr>
        <w:t> that includes activities that are consistent with other governmental and educational functions serviced by the state of Indiana and other charitable, nonprofit purposes for which the university is granted exemption from Indiana adjusted gross income tax and federal income tax.</w:t>
      </w:r>
    </w:p>
    <w:p w:rsidR="00174CE6" w:rsidRP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p>
    <w:p w:rsidR="00174CE6" w:rsidRP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4. </w:t>
      </w:r>
      <w:r w:rsidRPr="00174CE6">
        <w:rPr>
          <w:rFonts w:ascii="Helvetica" w:eastAsia="Times New Roman" w:hAnsi="Helvetica" w:cs="Helvetica"/>
          <w:color w:val="424545"/>
          <w:sz w:val="18"/>
          <w:szCs w:val="18"/>
          <w:u w:val="single"/>
          <w:bdr w:val="none" w:sz="0" w:space="0" w:color="auto" w:frame="1"/>
        </w:rPr>
        <w:t>Other university activities</w:t>
      </w:r>
      <w:r w:rsidRPr="00174CE6">
        <w:rPr>
          <w:rFonts w:ascii="Helvetica" w:eastAsia="Times New Roman" w:hAnsi="Helvetica" w:cs="Helvetica"/>
          <w:color w:val="424545"/>
          <w:sz w:val="18"/>
          <w:szCs w:val="18"/>
        </w:rPr>
        <w:t> that are customarily undertaken in the conduct of governmental functions, including:</w:t>
      </w:r>
    </w:p>
    <w:p w:rsidR="00174CE6" w:rsidRPr="00174CE6" w:rsidRDefault="00174CE6" w:rsidP="00174CE6">
      <w:pPr>
        <w:numPr>
          <w:ilvl w:val="0"/>
          <w:numId w:val="4"/>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Sponsoring continuing education activities;</w:t>
      </w:r>
    </w:p>
    <w:p w:rsidR="00174CE6" w:rsidRPr="00174CE6" w:rsidRDefault="00174CE6" w:rsidP="00174CE6">
      <w:pPr>
        <w:numPr>
          <w:ilvl w:val="0"/>
          <w:numId w:val="4"/>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Operating the county extension service for the state;</w:t>
      </w:r>
    </w:p>
    <w:p w:rsidR="00174CE6" w:rsidRPr="00174CE6" w:rsidRDefault="00174CE6" w:rsidP="00174CE6">
      <w:pPr>
        <w:numPr>
          <w:ilvl w:val="0"/>
          <w:numId w:val="4"/>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Providing public access to intercollegiate athletic functions;</w:t>
      </w:r>
    </w:p>
    <w:p w:rsidR="00174CE6" w:rsidRPr="00174CE6" w:rsidRDefault="00174CE6" w:rsidP="00174CE6">
      <w:pPr>
        <w:numPr>
          <w:ilvl w:val="0"/>
          <w:numId w:val="4"/>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Providing public access to recreational and physical fitness facilities;</w:t>
      </w:r>
    </w:p>
    <w:p w:rsidR="00174CE6" w:rsidRPr="00174CE6" w:rsidRDefault="00174CE6" w:rsidP="00174CE6">
      <w:pPr>
        <w:numPr>
          <w:ilvl w:val="0"/>
          <w:numId w:val="4"/>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Providing public access to musical, theatrical, and artistic performances;</w:t>
      </w:r>
    </w:p>
    <w:p w:rsidR="00174CE6" w:rsidRPr="00174CE6" w:rsidRDefault="00174CE6" w:rsidP="00174CE6">
      <w:pPr>
        <w:numPr>
          <w:ilvl w:val="0"/>
          <w:numId w:val="4"/>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lastRenderedPageBreak/>
        <w:t>Providing access to informational and cultural events and productions; and</w:t>
      </w:r>
    </w:p>
    <w:p w:rsidR="00174CE6" w:rsidRPr="00174CE6" w:rsidRDefault="00174CE6" w:rsidP="00174CE6">
      <w:pPr>
        <w:numPr>
          <w:ilvl w:val="0"/>
          <w:numId w:val="4"/>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Providing recruiting and development activities including recruiting of students and faculty.</w:t>
      </w:r>
    </w:p>
    <w:p w:rsidR="00174CE6" w:rsidRDefault="00174CE6" w:rsidP="00174CE6">
      <w:pPr>
        <w:numPr>
          <w:ilvl w:val="0"/>
          <w:numId w:val="4"/>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Administrative events/transactions that flow through to support IU's ability to conduct its governmental function.</w:t>
      </w:r>
    </w:p>
    <w:p w:rsidR="00174CE6" w:rsidRPr="00174CE6" w:rsidRDefault="00174CE6" w:rsidP="00174CE6">
      <w:pPr>
        <w:shd w:val="clear" w:color="auto" w:fill="FFFFFF"/>
        <w:spacing w:before="75" w:after="0" w:line="240" w:lineRule="auto"/>
        <w:ind w:left="300"/>
        <w:textAlignment w:val="baseline"/>
        <w:rPr>
          <w:rFonts w:ascii="Helvetica" w:eastAsia="Times New Roman" w:hAnsi="Helvetica" w:cs="Helvetica"/>
          <w:color w:val="424545"/>
          <w:sz w:val="18"/>
          <w:szCs w:val="18"/>
        </w:rPr>
      </w:pPr>
    </w:p>
    <w:p w:rsid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r w:rsidRPr="00174CE6">
        <w:rPr>
          <w:rFonts w:ascii="Helvetica" w:eastAsia="Times New Roman" w:hAnsi="Helvetica" w:cs="Helvetica"/>
          <w:b/>
          <w:bCs/>
          <w:color w:val="424545"/>
          <w:sz w:val="18"/>
          <w:szCs w:val="18"/>
          <w:bdr w:val="none" w:sz="0" w:space="0" w:color="auto" w:frame="1"/>
        </w:rPr>
        <w:t>Proprietary activity:</w:t>
      </w:r>
      <w:r w:rsidRPr="00174CE6">
        <w:rPr>
          <w:rFonts w:ascii="Helvetica" w:eastAsia="Times New Roman" w:hAnsi="Helvetica" w:cs="Helvetica"/>
          <w:color w:val="424545"/>
          <w:sz w:val="18"/>
          <w:szCs w:val="18"/>
        </w:rPr>
        <w:t> Is an activity that generates revenues for state colleges or universities from the general public and that is both customarily associated with the conduct of a private business enterprise and that is outside the scope of activities of governmental and educational functions as defined for state colleges or universities.</w:t>
      </w:r>
    </w:p>
    <w:p w:rsid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br/>
      </w:r>
      <w:r w:rsidRPr="00174CE6">
        <w:rPr>
          <w:rFonts w:ascii="Helvetica" w:eastAsia="Times New Roman" w:hAnsi="Helvetica" w:cs="Helvetica"/>
          <w:b/>
          <w:bCs/>
          <w:color w:val="424545"/>
          <w:sz w:val="18"/>
          <w:szCs w:val="18"/>
          <w:bdr w:val="none" w:sz="0" w:space="0" w:color="auto" w:frame="1"/>
        </w:rPr>
        <w:t>State agency:</w:t>
      </w:r>
      <w:r w:rsidRPr="00174CE6">
        <w:rPr>
          <w:rFonts w:ascii="Helvetica" w:eastAsia="Times New Roman" w:hAnsi="Helvetica" w:cs="Helvetica"/>
          <w:color w:val="424545"/>
          <w:sz w:val="18"/>
          <w:szCs w:val="18"/>
        </w:rPr>
        <w:t> Is an authority, a board, a branch, a commission, a committee, a department, a division, or another instrumentality of the executive, legislative, or judicial departments of Indiana state government. Activities that serve the public’s general health, welfare and/or safety are considered to be governmental functions.</w:t>
      </w:r>
    </w:p>
    <w:p w:rsid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br/>
      </w:r>
      <w:r w:rsidRPr="00174CE6">
        <w:rPr>
          <w:rFonts w:ascii="Helvetica" w:eastAsia="Times New Roman" w:hAnsi="Helvetica" w:cs="Helvetica"/>
          <w:b/>
          <w:bCs/>
          <w:color w:val="424545"/>
          <w:sz w:val="18"/>
          <w:szCs w:val="18"/>
          <w:bdr w:val="none" w:sz="0" w:space="0" w:color="auto" w:frame="1"/>
        </w:rPr>
        <w:t>Student:</w:t>
      </w:r>
      <w:r w:rsidRPr="00174CE6">
        <w:rPr>
          <w:rFonts w:ascii="Helvetica" w:eastAsia="Times New Roman" w:hAnsi="Helvetica" w:cs="Helvetica"/>
          <w:color w:val="424545"/>
          <w:sz w:val="18"/>
          <w:szCs w:val="18"/>
        </w:rPr>
        <w:t> Is an individual enrolled or registered in courses that grant credit toward the attainment of an undergraduate or graduate degree or who is enrolled in an elementary or a secondary school. The term student also includes any individual enrolled in remedial courses that are certified by the college or university.</w:t>
      </w:r>
    </w:p>
    <w:p w:rsid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br/>
      </w:r>
      <w:r w:rsidRPr="00174CE6">
        <w:rPr>
          <w:rFonts w:ascii="Helvetica" w:eastAsia="Times New Roman" w:hAnsi="Helvetica" w:cs="Helvetica"/>
          <w:b/>
          <w:bCs/>
          <w:color w:val="424545"/>
          <w:sz w:val="18"/>
          <w:szCs w:val="18"/>
          <w:bdr w:val="none" w:sz="0" w:space="0" w:color="auto" w:frame="1"/>
        </w:rPr>
        <w:t>Student Function:</w:t>
      </w:r>
      <w:r w:rsidRPr="00174CE6">
        <w:rPr>
          <w:rFonts w:ascii="Helvetica" w:eastAsia="Times New Roman" w:hAnsi="Helvetica" w:cs="Helvetica"/>
          <w:color w:val="424545"/>
          <w:sz w:val="18"/>
          <w:szCs w:val="18"/>
        </w:rPr>
        <w:t> An event related to recruitment of students within Indiana, experiential learning for students, or primarily a student function put on for the benefit of students. Examples include: student commencement, student orientation, or campus student life event.</w:t>
      </w:r>
      <w:bookmarkStart w:id="0" w:name="_GoBack"/>
      <w:bookmarkEnd w:id="0"/>
    </w:p>
    <w:p w:rsidR="00174CE6" w:rsidRPr="00174CE6" w:rsidRDefault="00174CE6" w:rsidP="00174CE6">
      <w:pPr>
        <w:shd w:val="clear" w:color="auto" w:fill="FFFFFF"/>
        <w:spacing w:after="0" w:line="240" w:lineRule="auto"/>
        <w:textAlignment w:val="baseline"/>
        <w:rPr>
          <w:rFonts w:ascii="Helvetica" w:eastAsia="Times New Roman" w:hAnsi="Helvetica" w:cs="Helvetica"/>
          <w:color w:val="424545"/>
          <w:sz w:val="18"/>
          <w:szCs w:val="18"/>
        </w:rPr>
      </w:pPr>
    </w:p>
    <w:p w:rsidR="00174CE6" w:rsidRPr="00174CE6" w:rsidRDefault="00174CE6" w:rsidP="00174CE6">
      <w:pPr>
        <w:shd w:val="clear" w:color="auto" w:fill="FFFFFF"/>
        <w:spacing w:after="150" w:line="240" w:lineRule="auto"/>
        <w:textAlignment w:val="baseline"/>
        <w:rPr>
          <w:rFonts w:ascii="Helvetica" w:eastAsia="Times New Roman" w:hAnsi="Helvetica" w:cs="Helvetica"/>
          <w:color w:val="424545"/>
          <w:sz w:val="18"/>
          <w:szCs w:val="18"/>
        </w:rPr>
      </w:pPr>
      <w:r w:rsidRPr="00174CE6">
        <w:rPr>
          <w:rFonts w:ascii="Helvetica" w:eastAsia="Times New Roman" w:hAnsi="Helvetica" w:cs="Helvetica"/>
          <w:b/>
          <w:bCs/>
          <w:color w:val="424545"/>
          <w:sz w:val="18"/>
          <w:szCs w:val="18"/>
          <w:bdr w:val="none" w:sz="0" w:space="0" w:color="auto" w:frame="1"/>
        </w:rPr>
        <w:t>“Tangible personal property”</w:t>
      </w:r>
      <w:r w:rsidRPr="00174CE6">
        <w:rPr>
          <w:rFonts w:ascii="Helvetica" w:eastAsia="Times New Roman" w:hAnsi="Helvetica" w:cs="Helvetica"/>
          <w:color w:val="424545"/>
          <w:sz w:val="18"/>
          <w:szCs w:val="18"/>
        </w:rPr>
        <w:t>: Is personal property that can be seen, weighed, measured, felt, or touched or that is in any other manner perceptible to the senses. The term includes electricity, water, gas, steam, and prewritten computer software.</w:t>
      </w:r>
    </w:p>
    <w:p w:rsidR="00174CE6" w:rsidRPr="00174CE6" w:rsidRDefault="00174CE6" w:rsidP="00174CE6">
      <w:pPr>
        <w:shd w:val="clear" w:color="auto" w:fill="FFFFFF"/>
        <w:spacing w:after="150" w:line="240" w:lineRule="auto"/>
        <w:textAlignment w:val="baseline"/>
        <w:rPr>
          <w:rFonts w:ascii="Helvetica" w:eastAsia="Times New Roman" w:hAnsi="Helvetica" w:cs="Helvetica"/>
          <w:b/>
          <w:bCs/>
          <w:color w:val="7D110C"/>
          <w:sz w:val="23"/>
          <w:szCs w:val="23"/>
        </w:rPr>
      </w:pPr>
      <w:r w:rsidRPr="00174CE6">
        <w:rPr>
          <w:rFonts w:ascii="Helvetica" w:eastAsia="Times New Roman" w:hAnsi="Helvetica" w:cs="Helvetica"/>
          <w:b/>
          <w:bCs/>
          <w:color w:val="7D110C"/>
          <w:sz w:val="23"/>
          <w:szCs w:val="23"/>
        </w:rPr>
        <w:t>EXAMPLES</w:t>
      </w:r>
    </w:p>
    <w:p w:rsidR="00174CE6" w:rsidRPr="00174CE6" w:rsidRDefault="00174CE6" w:rsidP="00174CE6">
      <w:pPr>
        <w:numPr>
          <w:ilvl w:val="0"/>
          <w:numId w:val="5"/>
        </w:numPr>
        <w:shd w:val="clear" w:color="auto" w:fill="FFFFFF"/>
        <w:spacing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The University, through IU Conferences, is hosting a 3-day conference in Indianapolis. The university rents meeting rooms in a hotel to conduct its educational conference. The rental of the meeting rooms will be exempt from the sales tax and local innkeepers’ tax (if applicable) due to our governmental exemption. Sales of meals during the conference are also exempt, as the conference is furthering the university’s exempt purpose. At the same conference, the organization reserves and pays for, out of its IU funds, the cost of four hotel rooms for lodging. The lodgings provided for students, faculty, staff and speakers would be exempt. Other attendees would not be exempt - unless the individuals are employees of Indiana University - from the sales tax or the innkeepers’ tax if applicable. The rental of hotel rooms is a private benefit for these individuals and does not serve the purpose for which the organization exists.</w:t>
      </w:r>
    </w:p>
    <w:p w:rsidR="00174CE6" w:rsidRPr="00174CE6" w:rsidRDefault="00174CE6" w:rsidP="00174CE6">
      <w:pPr>
        <w:numPr>
          <w:ilvl w:val="0"/>
          <w:numId w:val="5"/>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A department holds a catered educational seminar with prepared food. All prepared food is exempt from tax, because the event is part of IU's business function. Charges for labor to serve food or beverages furnished, prepared, or served for consumption at a location are not subject to sales tax. Also, the rental of linens and equipment in conjunction with the meal are exempt because the event falls within the University’s mission. Finally, the rental of the rooms will be exempt from sales tax and local innkeepers’ tax, if applicable.</w:t>
      </w:r>
    </w:p>
    <w:p w:rsidR="00174CE6" w:rsidRPr="00174CE6" w:rsidRDefault="00174CE6" w:rsidP="00174CE6">
      <w:pPr>
        <w:numPr>
          <w:ilvl w:val="0"/>
          <w:numId w:val="5"/>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 xml:space="preserve">Question: A Science Olympiad is held on campus for local non-IU students in grades 4-12. Would the food provided to the students not be taxed? Should the food provided for IU student judges not be taxed, while food provided for </w:t>
      </w:r>
      <w:proofErr w:type="spellStart"/>
      <w:r w:rsidRPr="00174CE6">
        <w:rPr>
          <w:rFonts w:ascii="Helvetica" w:eastAsia="Times New Roman" w:hAnsi="Helvetica" w:cs="Helvetica"/>
          <w:color w:val="424545"/>
          <w:sz w:val="18"/>
          <w:szCs w:val="18"/>
        </w:rPr>
        <w:t>non-student</w:t>
      </w:r>
      <w:proofErr w:type="spellEnd"/>
      <w:r w:rsidRPr="00174CE6">
        <w:rPr>
          <w:rFonts w:ascii="Helvetica" w:eastAsia="Times New Roman" w:hAnsi="Helvetica" w:cs="Helvetica"/>
          <w:color w:val="424545"/>
          <w:sz w:val="18"/>
          <w:szCs w:val="18"/>
        </w:rPr>
        <w:t xml:space="preserve"> judges be taxed? Does equipment rental from a local rental company need to be taxed? If ordering boxed lunches for both IU student and </w:t>
      </w:r>
      <w:proofErr w:type="spellStart"/>
      <w:r w:rsidRPr="00174CE6">
        <w:rPr>
          <w:rFonts w:ascii="Helvetica" w:eastAsia="Times New Roman" w:hAnsi="Helvetica" w:cs="Helvetica"/>
          <w:color w:val="424545"/>
          <w:sz w:val="18"/>
          <w:szCs w:val="18"/>
        </w:rPr>
        <w:t>non-student</w:t>
      </w:r>
      <w:proofErr w:type="spellEnd"/>
      <w:r w:rsidRPr="00174CE6">
        <w:rPr>
          <w:rFonts w:ascii="Helvetica" w:eastAsia="Times New Roman" w:hAnsi="Helvetica" w:cs="Helvetica"/>
          <w:color w:val="424545"/>
          <w:sz w:val="18"/>
          <w:szCs w:val="18"/>
        </w:rPr>
        <w:t xml:space="preserve"> judges, does the order need to be separated or allocated by percent in order to tax the </w:t>
      </w:r>
      <w:proofErr w:type="spellStart"/>
      <w:r w:rsidRPr="00174CE6">
        <w:rPr>
          <w:rFonts w:ascii="Helvetica" w:eastAsia="Times New Roman" w:hAnsi="Helvetica" w:cs="Helvetica"/>
          <w:color w:val="424545"/>
          <w:sz w:val="18"/>
          <w:szCs w:val="18"/>
        </w:rPr>
        <w:t>non-student</w:t>
      </w:r>
      <w:proofErr w:type="spellEnd"/>
      <w:r w:rsidRPr="00174CE6">
        <w:rPr>
          <w:rFonts w:ascii="Helvetica" w:eastAsia="Times New Roman" w:hAnsi="Helvetica" w:cs="Helvetica"/>
          <w:color w:val="424545"/>
          <w:sz w:val="18"/>
          <w:szCs w:val="18"/>
        </w:rPr>
        <w:t xml:space="preserve"> group or are both non-taxable? Would the taxability of the event be based on the purpose of the event and not who is consuming the food? Answer: The taxability of food for the event is based wholly on its purpose. If the event is an IU sponsored one and the purpose of the event is student recruitment, then the exemption applies. All other considerations of breaking out IU/non-IU judges for taxability are unnecessary.</w:t>
      </w:r>
    </w:p>
    <w:p w:rsidR="00174CE6" w:rsidRPr="00174CE6" w:rsidRDefault="00174CE6" w:rsidP="00174CE6">
      <w:pPr>
        <w:numPr>
          <w:ilvl w:val="0"/>
          <w:numId w:val="5"/>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Question: A department rents a meeting room for a staff retirement function. Food is included. What is taxable?</w:t>
      </w:r>
      <w:r w:rsidRPr="00174CE6">
        <w:rPr>
          <w:rFonts w:ascii="Helvetica" w:eastAsia="Times New Roman" w:hAnsi="Helvetica" w:cs="Helvetica"/>
          <w:color w:val="424545"/>
          <w:sz w:val="18"/>
          <w:szCs w:val="18"/>
        </w:rPr>
        <w:br/>
        <w:t>Answer: The room rental and food would both be subject to tax because the function is not an IU business function. It is purely recreational. Tax should be paid to outside vendors and when purchased or rented from an IU department in the business of catering and renting space.</w:t>
      </w:r>
    </w:p>
    <w:p w:rsidR="00174CE6" w:rsidRPr="00174CE6" w:rsidRDefault="00174CE6" w:rsidP="00174CE6">
      <w:pPr>
        <w:numPr>
          <w:ilvl w:val="0"/>
          <w:numId w:val="5"/>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 xml:space="preserve">Question: IU attends a conference, pays for all meals (including alcohol) and lodging, and rents meeting space. Which of those items would be taxable and which would be exempt for each of the following groups: IU Students, K-12 Students, </w:t>
      </w:r>
      <w:proofErr w:type="gramStart"/>
      <w:r w:rsidRPr="00174CE6">
        <w:rPr>
          <w:rFonts w:ascii="Helvetica" w:eastAsia="Times New Roman" w:hAnsi="Helvetica" w:cs="Helvetica"/>
          <w:color w:val="424545"/>
          <w:sz w:val="18"/>
          <w:szCs w:val="18"/>
        </w:rPr>
        <w:t>Students</w:t>
      </w:r>
      <w:proofErr w:type="gramEnd"/>
      <w:r w:rsidRPr="00174CE6">
        <w:rPr>
          <w:rFonts w:ascii="Helvetica" w:eastAsia="Times New Roman" w:hAnsi="Helvetica" w:cs="Helvetica"/>
          <w:color w:val="424545"/>
          <w:sz w:val="18"/>
          <w:szCs w:val="18"/>
        </w:rPr>
        <w:t xml:space="preserve"> from Other Colleges, IU Faculty/Staff, Speakers/Presenters, Donors, and Alumni?</w:t>
      </w:r>
      <w:r w:rsidRPr="00174CE6">
        <w:rPr>
          <w:rFonts w:ascii="Helvetica" w:eastAsia="Times New Roman" w:hAnsi="Helvetica" w:cs="Helvetica"/>
          <w:color w:val="424545"/>
          <w:sz w:val="18"/>
          <w:szCs w:val="18"/>
        </w:rPr>
        <w:br/>
        <w:t xml:space="preserve">Answer: Meals (including alcohol) and lodging for all types of students, faculty and speakers would be exempt if the conference furthers the institution’s educational purpose. The meeting room would also be exempt assuming use for educational purposes. Purchases for donors and alumni would not specifically be exempt, as this would </w:t>
      </w:r>
      <w:r w:rsidRPr="00174CE6">
        <w:rPr>
          <w:rFonts w:ascii="Helvetica" w:eastAsia="Times New Roman" w:hAnsi="Helvetica" w:cs="Helvetica"/>
          <w:color w:val="424545"/>
          <w:sz w:val="18"/>
          <w:szCs w:val="18"/>
        </w:rPr>
        <w:lastRenderedPageBreak/>
        <w:t>not be consistent with a governmental purpose. However, having food available that might be accessible by donors, alumni or other non-exempt persons would not impact the exemption as long as the food was predominately intended for exempt persons.</w:t>
      </w:r>
    </w:p>
    <w:p w:rsidR="00174CE6" w:rsidRPr="00174CE6" w:rsidRDefault="00174CE6" w:rsidP="00174CE6">
      <w:pPr>
        <w:numPr>
          <w:ilvl w:val="0"/>
          <w:numId w:val="5"/>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 xml:space="preserve">Question: IU provides catering and alcohol in a press box at an athletic event. Which of those items would be taxable and which would be exempt for each of the following groups: IU Students, K-12 Students, </w:t>
      </w:r>
      <w:proofErr w:type="gramStart"/>
      <w:r w:rsidRPr="00174CE6">
        <w:rPr>
          <w:rFonts w:ascii="Helvetica" w:eastAsia="Times New Roman" w:hAnsi="Helvetica" w:cs="Helvetica"/>
          <w:color w:val="424545"/>
          <w:sz w:val="18"/>
          <w:szCs w:val="18"/>
        </w:rPr>
        <w:t>Students</w:t>
      </w:r>
      <w:proofErr w:type="gramEnd"/>
      <w:r w:rsidRPr="00174CE6">
        <w:rPr>
          <w:rFonts w:ascii="Helvetica" w:eastAsia="Times New Roman" w:hAnsi="Helvetica" w:cs="Helvetica"/>
          <w:color w:val="424545"/>
          <w:sz w:val="18"/>
          <w:szCs w:val="18"/>
        </w:rPr>
        <w:t xml:space="preserve"> from Other Colleges, IU Faculty/Staff, Speakers/Presenters, Donors, and Alumni?</w:t>
      </w:r>
      <w:r w:rsidRPr="00174CE6">
        <w:rPr>
          <w:rFonts w:ascii="Helvetica" w:eastAsia="Times New Roman" w:hAnsi="Helvetica" w:cs="Helvetica"/>
          <w:color w:val="424545"/>
          <w:sz w:val="18"/>
          <w:szCs w:val="18"/>
        </w:rPr>
        <w:br/>
        <w:t>Answer: Press box catering would generally be taxable. While the athletic event is itself an educational function, press box catering appears to be a convenience. Student meals could be independently exempt.</w:t>
      </w:r>
    </w:p>
    <w:p w:rsidR="00174CE6" w:rsidRPr="00174CE6" w:rsidRDefault="00174CE6" w:rsidP="00174CE6">
      <w:pPr>
        <w:numPr>
          <w:ilvl w:val="0"/>
          <w:numId w:val="5"/>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 xml:space="preserve">Question: An IU department takes the following people out for a recruitment dinner, including alcohol. Which of the following would be taxable and which would be exempt: Donors, K-12 Students, Students from Other Colleges, Potential Faculty/Staff, </w:t>
      </w:r>
      <w:proofErr w:type="gramStart"/>
      <w:r w:rsidRPr="00174CE6">
        <w:rPr>
          <w:rFonts w:ascii="Helvetica" w:eastAsia="Times New Roman" w:hAnsi="Helvetica" w:cs="Helvetica"/>
          <w:color w:val="424545"/>
          <w:sz w:val="18"/>
          <w:szCs w:val="18"/>
        </w:rPr>
        <w:t>Potential</w:t>
      </w:r>
      <w:proofErr w:type="gramEnd"/>
      <w:r w:rsidRPr="00174CE6">
        <w:rPr>
          <w:rFonts w:ascii="Helvetica" w:eastAsia="Times New Roman" w:hAnsi="Helvetica" w:cs="Helvetica"/>
          <w:color w:val="424545"/>
          <w:sz w:val="18"/>
          <w:szCs w:val="18"/>
        </w:rPr>
        <w:t xml:space="preserve"> Speakers/Presenters?</w:t>
      </w:r>
      <w:r w:rsidRPr="00174CE6">
        <w:rPr>
          <w:rFonts w:ascii="Helvetica" w:eastAsia="Times New Roman" w:hAnsi="Helvetica" w:cs="Helvetica"/>
          <w:color w:val="424545"/>
          <w:sz w:val="18"/>
          <w:szCs w:val="18"/>
        </w:rPr>
        <w:br/>
        <w:t>Answer: Purchases for benefit of donors would not be considered a governmental purpose. The other categories would be exempt. Alcohol would be exempt as part of an exempt meal. Such a meal may be considered exempt overall if those in attendance are predominately exempt persons.</w:t>
      </w:r>
    </w:p>
    <w:p w:rsidR="00174CE6" w:rsidRPr="00174CE6" w:rsidRDefault="00174CE6" w:rsidP="00174CE6">
      <w:pPr>
        <w:numPr>
          <w:ilvl w:val="0"/>
          <w:numId w:val="5"/>
        </w:numPr>
        <w:shd w:val="clear" w:color="auto" w:fill="FFFFFF"/>
        <w:spacing w:before="75" w:after="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Question: An IU department purchases catering for an outside company, which is on campus at a recruiting event. The hope is to benefit students with a job offer from the attending companies. Would this catering be taxable?</w:t>
      </w:r>
      <w:r w:rsidRPr="00174CE6">
        <w:rPr>
          <w:rFonts w:ascii="Helvetica" w:eastAsia="Times New Roman" w:hAnsi="Helvetica" w:cs="Helvetica"/>
          <w:color w:val="424545"/>
          <w:sz w:val="18"/>
          <w:szCs w:val="18"/>
        </w:rPr>
        <w:br/>
        <w:t>Answer: These purchases would be exempt, as they assist the students in furthering their career opportunities, which would fall under IU's governmental purpose.</w:t>
      </w:r>
    </w:p>
    <w:p w:rsidR="00174CE6" w:rsidRPr="00174CE6" w:rsidRDefault="00174CE6" w:rsidP="00174CE6">
      <w:pPr>
        <w:numPr>
          <w:ilvl w:val="0"/>
          <w:numId w:val="5"/>
        </w:numPr>
        <w:shd w:val="clear" w:color="auto" w:fill="FFFFFF"/>
        <w:spacing w:before="75" w:after="150" w:line="240" w:lineRule="auto"/>
        <w:ind w:left="300"/>
        <w:textAlignment w:val="baseline"/>
        <w:rPr>
          <w:rFonts w:ascii="Helvetica" w:eastAsia="Times New Roman" w:hAnsi="Helvetica" w:cs="Helvetica"/>
          <w:color w:val="424545"/>
          <w:sz w:val="18"/>
          <w:szCs w:val="18"/>
        </w:rPr>
      </w:pPr>
      <w:r w:rsidRPr="00174CE6">
        <w:rPr>
          <w:rFonts w:ascii="Helvetica" w:eastAsia="Times New Roman" w:hAnsi="Helvetica" w:cs="Helvetica"/>
          <w:color w:val="424545"/>
          <w:sz w:val="18"/>
          <w:szCs w:val="18"/>
        </w:rPr>
        <w:t>Question: An IU department schedules a business training/planning session off campus for its IU staff, for which space is rented and food is provided. Would either of these be taxable?</w:t>
      </w:r>
      <w:r w:rsidRPr="00174CE6">
        <w:rPr>
          <w:rFonts w:ascii="Helvetica" w:eastAsia="Times New Roman" w:hAnsi="Helvetica" w:cs="Helvetica"/>
          <w:color w:val="424545"/>
          <w:sz w:val="18"/>
          <w:szCs w:val="18"/>
        </w:rPr>
        <w:br/>
        <w:t xml:space="preserve">Answer: The meeting space would be exempt, but the food would be taxable. This differs from the conference example because the food at the meeting is a convenience. The distinction between a </w:t>
      </w:r>
      <w:proofErr w:type="gramStart"/>
      <w:r w:rsidRPr="00174CE6">
        <w:rPr>
          <w:rFonts w:ascii="Helvetica" w:eastAsia="Times New Roman" w:hAnsi="Helvetica" w:cs="Helvetica"/>
          <w:color w:val="424545"/>
          <w:sz w:val="18"/>
          <w:szCs w:val="18"/>
        </w:rPr>
        <w:t>meeting</w:t>
      </w:r>
      <w:proofErr w:type="gramEnd"/>
      <w:r w:rsidRPr="00174CE6">
        <w:rPr>
          <w:rFonts w:ascii="Helvetica" w:eastAsia="Times New Roman" w:hAnsi="Helvetica" w:cs="Helvetica"/>
          <w:color w:val="424545"/>
          <w:sz w:val="18"/>
          <w:szCs w:val="18"/>
        </w:rPr>
        <w:t xml:space="preserve"> to address administrative functions versus a conference with an educational function may not always be clear cut.</w:t>
      </w:r>
    </w:p>
    <w:p w:rsidR="00174CE6" w:rsidRPr="00174CE6" w:rsidRDefault="00174CE6">
      <w:pPr>
        <w:rPr>
          <w:rFonts w:ascii="Helvetica" w:eastAsia="Times New Roman" w:hAnsi="Helvetica" w:cs="Helvetica"/>
          <w:color w:val="424545"/>
          <w:sz w:val="18"/>
          <w:szCs w:val="18"/>
        </w:rPr>
      </w:pPr>
    </w:p>
    <w:sectPr w:rsidR="00174CE6" w:rsidRPr="00174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6AD"/>
    <w:multiLevelType w:val="multilevel"/>
    <w:tmpl w:val="90C65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9738A"/>
    <w:multiLevelType w:val="multilevel"/>
    <w:tmpl w:val="9E4C7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6E2F82"/>
    <w:multiLevelType w:val="multilevel"/>
    <w:tmpl w:val="8E64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35412"/>
    <w:multiLevelType w:val="multilevel"/>
    <w:tmpl w:val="0A583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414DFB"/>
    <w:multiLevelType w:val="multilevel"/>
    <w:tmpl w:val="AFC6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E6"/>
    <w:rsid w:val="00174CE6"/>
    <w:rsid w:val="0052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C9B3"/>
  <w15:chartTrackingRefBased/>
  <w15:docId w15:val="{DAC0FF85-F4F4-4D68-8605-0DBFED6A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4C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CE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74CE6"/>
    <w:rPr>
      <w:b/>
      <w:bCs/>
    </w:rPr>
  </w:style>
  <w:style w:type="paragraph" w:styleId="NormalWeb">
    <w:name w:val="Normal (Web)"/>
    <w:basedOn w:val="Normal"/>
    <w:uiPriority w:val="99"/>
    <w:semiHidden/>
    <w:unhideWhenUsed/>
    <w:rsid w:val="00174C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4CE6"/>
    <w:rPr>
      <w:i/>
      <w:iCs/>
    </w:rPr>
  </w:style>
  <w:style w:type="character" w:styleId="Hyperlink">
    <w:name w:val="Hyperlink"/>
    <w:basedOn w:val="DefaultParagraphFont"/>
    <w:uiPriority w:val="99"/>
    <w:unhideWhenUsed/>
    <w:rsid w:val="00174CE6"/>
    <w:rPr>
      <w:color w:val="0000FF"/>
      <w:u w:val="single"/>
    </w:rPr>
  </w:style>
  <w:style w:type="paragraph" w:styleId="ListParagraph">
    <w:name w:val="List Paragraph"/>
    <w:basedOn w:val="Normal"/>
    <w:uiPriority w:val="34"/>
    <w:qFormat/>
    <w:rsid w:val="00174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32159">
      <w:bodyDiv w:val="1"/>
      <w:marLeft w:val="0"/>
      <w:marRight w:val="0"/>
      <w:marTop w:val="0"/>
      <w:marBottom w:val="0"/>
      <w:divBdr>
        <w:top w:val="none" w:sz="0" w:space="0" w:color="auto"/>
        <w:left w:val="none" w:sz="0" w:space="0" w:color="auto"/>
        <w:bottom w:val="none" w:sz="0" w:space="0" w:color="auto"/>
        <w:right w:val="none" w:sz="0" w:space="0" w:color="auto"/>
      </w:divBdr>
    </w:div>
    <w:div w:id="1319456297">
      <w:bodyDiv w:val="1"/>
      <w:marLeft w:val="0"/>
      <w:marRight w:val="0"/>
      <w:marTop w:val="0"/>
      <w:marBottom w:val="0"/>
      <w:divBdr>
        <w:top w:val="none" w:sz="0" w:space="0" w:color="auto"/>
        <w:left w:val="none" w:sz="0" w:space="0" w:color="auto"/>
        <w:bottom w:val="none" w:sz="0" w:space="0" w:color="auto"/>
        <w:right w:val="none" w:sz="0" w:space="0" w:color="auto"/>
      </w:divBdr>
      <w:divsChild>
        <w:div w:id="528297914">
          <w:marLeft w:val="0"/>
          <w:marRight w:val="0"/>
          <w:marTop w:val="0"/>
          <w:marBottom w:val="150"/>
          <w:divBdr>
            <w:top w:val="none" w:sz="0" w:space="0" w:color="auto"/>
            <w:left w:val="none" w:sz="0" w:space="0" w:color="auto"/>
            <w:bottom w:val="none" w:sz="0" w:space="0" w:color="auto"/>
            <w:right w:val="none" w:sz="0" w:space="0" w:color="auto"/>
          </w:divBdr>
        </w:div>
        <w:div w:id="92212849">
          <w:marLeft w:val="300"/>
          <w:marRight w:val="0"/>
          <w:marTop w:val="150"/>
          <w:marBottom w:val="150"/>
          <w:divBdr>
            <w:top w:val="none" w:sz="0" w:space="0" w:color="auto"/>
            <w:left w:val="none" w:sz="0" w:space="0" w:color="auto"/>
            <w:bottom w:val="none" w:sz="0" w:space="0" w:color="auto"/>
            <w:right w:val="none" w:sz="0" w:space="0" w:color="auto"/>
          </w:divBdr>
        </w:div>
        <w:div w:id="271204723">
          <w:marLeft w:val="0"/>
          <w:marRight w:val="0"/>
          <w:marTop w:val="0"/>
          <w:marBottom w:val="150"/>
          <w:divBdr>
            <w:top w:val="none" w:sz="0" w:space="0" w:color="auto"/>
            <w:left w:val="none" w:sz="0" w:space="0" w:color="auto"/>
            <w:bottom w:val="none" w:sz="0" w:space="0" w:color="auto"/>
            <w:right w:val="none" w:sz="0" w:space="0" w:color="auto"/>
          </w:divBdr>
        </w:div>
        <w:div w:id="343553630">
          <w:marLeft w:val="30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roller.iu.edu/compliance/form-library" TargetMode="External"/><Relationship Id="rId5" Type="http://schemas.openxmlformats.org/officeDocument/2006/relationships/hyperlink" Target="https://controller.iu.edu/services/suppliers/st-1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 Andrea Tabler</dc:creator>
  <cp:keywords/>
  <dc:description/>
  <cp:lastModifiedBy>Seifert, Andrea Tabler</cp:lastModifiedBy>
  <cp:revision>1</cp:revision>
  <dcterms:created xsi:type="dcterms:W3CDTF">2020-10-07T17:16:00Z</dcterms:created>
  <dcterms:modified xsi:type="dcterms:W3CDTF">2020-10-07T17:20:00Z</dcterms:modified>
</cp:coreProperties>
</file>