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3F" w:rsidRPr="00FF06BC" w:rsidRDefault="00F8063F" w:rsidP="00F8063F">
      <w:pPr>
        <w:spacing w:before="200" w:after="32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Chart of Accounts Quick Reference Guide</w:t>
      </w:r>
    </w:p>
    <w:p w:rsidR="00F8063F" w:rsidRPr="00F8063F" w:rsidRDefault="00F8063F" w:rsidP="00F8063F">
      <w:pPr>
        <w:spacing w:after="0"/>
        <w:rPr>
          <w:b/>
          <w:color w:val="C00000"/>
        </w:rPr>
      </w:pPr>
      <w:r w:rsidRPr="00F8063F">
        <w:rPr>
          <w:b/>
          <w:color w:val="C00000"/>
        </w:rPr>
        <w:t>Account Number Logic</w:t>
      </w:r>
    </w:p>
    <w:p w:rsidR="00F8063F" w:rsidRDefault="00F8063F" w:rsidP="00F8063F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03-19: </w:t>
      </w:r>
      <w:r>
        <w:rPr>
          <w:b/>
          <w:color w:val="C00000"/>
          <w:sz w:val="24"/>
          <w:szCs w:val="24"/>
        </w:rPr>
        <w:t xml:space="preserve">General Fund </w:t>
      </w:r>
      <w:r w:rsidRPr="0033541B">
        <w:rPr>
          <w:b/>
          <w:color w:val="000000" w:themeColor="text1"/>
          <w:sz w:val="24"/>
          <w:szCs w:val="24"/>
        </w:rPr>
        <w:t>Accounts by Chart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1"/>
        <w:gridCol w:w="2454"/>
        <w:gridCol w:w="260"/>
        <w:gridCol w:w="982"/>
        <w:gridCol w:w="2533"/>
      </w:tblGrid>
      <w:tr w:rsidR="007F4F6A" w:rsidTr="007F4F6A">
        <w:trPr>
          <w:trHeight w:val="360"/>
        </w:trPr>
        <w:tc>
          <w:tcPr>
            <w:tcW w:w="971" w:type="dxa"/>
            <w:shd w:val="clear" w:color="auto" w:fill="767171" w:themeFill="background2" w:themeFillShade="80"/>
            <w:vAlign w:val="center"/>
          </w:tcPr>
          <w:p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767171" w:themeFill="background2" w:themeFillShade="80"/>
            <w:vAlign w:val="center"/>
          </w:tcPr>
          <w:p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Chart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F6A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  <w:shd w:val="clear" w:color="auto" w:fill="767171" w:themeFill="background2" w:themeFillShade="80"/>
            <w:vAlign w:val="center"/>
          </w:tcPr>
          <w:p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2533" w:type="dxa"/>
            <w:shd w:val="clear" w:color="auto" w:fill="767171" w:themeFill="background2" w:themeFillShade="80"/>
            <w:vAlign w:val="center"/>
          </w:tcPr>
          <w:p w:rsidR="007F4F6A" w:rsidRPr="00676C15" w:rsidRDefault="007F4F6A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Chart</w:t>
            </w:r>
          </w:p>
        </w:tc>
      </w:tr>
      <w:tr w:rsidR="007F4F6A" w:rsidTr="005A4864">
        <w:tc>
          <w:tcPr>
            <w:tcW w:w="971" w:type="dxa"/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454" w:type="dxa"/>
            <w:tcBorders>
              <w:right w:val="nil"/>
            </w:tcBorders>
          </w:tcPr>
          <w:p w:rsidR="007F4F6A" w:rsidRPr="008C2ABF" w:rsidRDefault="007F4F6A" w:rsidP="005A4864">
            <w:r>
              <w:t>East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F6A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533" w:type="dxa"/>
          </w:tcPr>
          <w:p w:rsidR="007F4F6A" w:rsidRPr="008C2ABF" w:rsidRDefault="007F4F6A" w:rsidP="005A4864">
            <w:r>
              <w:t>Southeast</w:t>
            </w:r>
          </w:p>
        </w:tc>
      </w:tr>
      <w:tr w:rsidR="007F4F6A" w:rsidTr="005A4864">
        <w:tc>
          <w:tcPr>
            <w:tcW w:w="971" w:type="dxa"/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454" w:type="dxa"/>
            <w:tcBorders>
              <w:right w:val="nil"/>
            </w:tcBorders>
          </w:tcPr>
          <w:p w:rsidR="007F4F6A" w:rsidRPr="008C2ABF" w:rsidRDefault="007F4F6A" w:rsidP="005A4864">
            <w:r>
              <w:t>Kokomo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3" w:type="dxa"/>
          </w:tcPr>
          <w:p w:rsidR="007F4F6A" w:rsidRPr="008C2ABF" w:rsidRDefault="007F4F6A" w:rsidP="005A4864">
            <w:r>
              <w:t>Bloomington</w:t>
            </w:r>
          </w:p>
        </w:tc>
      </w:tr>
      <w:tr w:rsidR="007F4F6A" w:rsidTr="005A4864">
        <w:tc>
          <w:tcPr>
            <w:tcW w:w="971" w:type="dxa"/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454" w:type="dxa"/>
            <w:tcBorders>
              <w:right w:val="nil"/>
            </w:tcBorders>
          </w:tcPr>
          <w:p w:rsidR="007F4F6A" w:rsidRPr="008C2ABF" w:rsidRDefault="007F4F6A" w:rsidP="005A4864">
            <w:r>
              <w:t>Northwest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3" w:type="dxa"/>
          </w:tcPr>
          <w:p w:rsidR="007F4F6A" w:rsidRPr="008C2ABF" w:rsidRDefault="007F4F6A" w:rsidP="005A4864">
            <w:r>
              <w:t>IUPUI</w:t>
            </w:r>
          </w:p>
        </w:tc>
      </w:tr>
      <w:tr w:rsidR="007F4F6A" w:rsidTr="005A4864">
        <w:tc>
          <w:tcPr>
            <w:tcW w:w="971" w:type="dxa"/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454" w:type="dxa"/>
            <w:tcBorders>
              <w:right w:val="nil"/>
            </w:tcBorders>
          </w:tcPr>
          <w:p w:rsidR="007F4F6A" w:rsidRPr="008C2ABF" w:rsidRDefault="007F4F6A" w:rsidP="005A4864">
            <w:r>
              <w:t>South Bend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4F6A" w:rsidRPr="00B26475" w:rsidRDefault="007F4F6A" w:rsidP="005A4864">
            <w:pPr>
              <w:rPr>
                <w:color w:val="FFFFFF" w:themeColor="background1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:rsidR="007F4F6A" w:rsidRDefault="007F4F6A" w:rsidP="005A4864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33" w:type="dxa"/>
          </w:tcPr>
          <w:p w:rsidR="007F4F6A" w:rsidRPr="008C2ABF" w:rsidRDefault="007F4F6A" w:rsidP="005A4864">
            <w:r>
              <w:t>University Administration</w:t>
            </w:r>
          </w:p>
        </w:tc>
      </w:tr>
    </w:tbl>
    <w:p w:rsidR="007F4F6A" w:rsidRPr="0033541B" w:rsidRDefault="007F4F6A" w:rsidP="00F8063F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11 &amp; 20-24: </w:t>
      </w:r>
      <w:r w:rsidRPr="007F4F6A">
        <w:rPr>
          <w:b/>
          <w:color w:val="C00000"/>
          <w:sz w:val="24"/>
          <w:szCs w:val="24"/>
        </w:rPr>
        <w:t>Designated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DS)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School of Medicine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(Various)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Continuing Education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DCEDU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Public Service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DPSA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Faculty Research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DFRES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Other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DOFDS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Scholarships and Fellowships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DSCFE</w:t>
            </w:r>
          </w:p>
        </w:tc>
      </w:tr>
    </w:tbl>
    <w:p w:rsidR="007F4F6A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25-29: </w:t>
      </w:r>
      <w:r w:rsidRPr="007F4F6A">
        <w:rPr>
          <w:b/>
          <w:color w:val="C00000"/>
          <w:sz w:val="24"/>
          <w:szCs w:val="24"/>
        </w:rPr>
        <w:t>Restricted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RF)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Scholarships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RESSCH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Fellowships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RESFEL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Special State Appropriations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RSSAPP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Faculty Endowment Match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FEMP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Other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ROFDS</w:t>
            </w:r>
          </w:p>
        </w:tc>
      </w:tr>
    </w:tbl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lastRenderedPageBreak/>
        <w:t xml:space="preserve">40-59: </w:t>
      </w:r>
      <w:r w:rsidRPr="007F4F6A">
        <w:rPr>
          <w:b/>
          <w:color w:val="C00000"/>
          <w:sz w:val="24"/>
          <w:szCs w:val="24"/>
        </w:rPr>
        <w:t xml:space="preserve">Contract and Grant </w:t>
      </w:r>
      <w:r>
        <w:rPr>
          <w:b/>
          <w:color w:val="000000" w:themeColor="text1"/>
          <w:sz w:val="24"/>
          <w:szCs w:val="24"/>
        </w:rPr>
        <w:t>(Fund group CG</w:t>
      </w:r>
      <w:r w:rsidRPr="0033541B">
        <w:rPr>
          <w:b/>
          <w:color w:val="000000" w:themeColor="text1"/>
          <w:sz w:val="24"/>
          <w:szCs w:val="24"/>
        </w:rPr>
        <w:t>)</w:t>
      </w:r>
    </w:p>
    <w:p w:rsidR="00F8063F" w:rsidRDefault="00F8063F" w:rsidP="00F8063F">
      <w:pPr>
        <w:spacing w:after="0"/>
      </w:pPr>
      <w:r>
        <w:t xml:space="preserve">There are breakdowns between Federal, State, Local, and Non-governmental based on </w:t>
      </w:r>
      <w:proofErr w:type="spellStart"/>
      <w:r>
        <w:t>subfund</w:t>
      </w:r>
      <w:proofErr w:type="spellEnd"/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60-66: </w:t>
      </w:r>
      <w:r w:rsidRPr="007F4F6A">
        <w:rPr>
          <w:b/>
          <w:color w:val="C00000"/>
          <w:sz w:val="24"/>
          <w:szCs w:val="24"/>
        </w:rPr>
        <w:t>Auxiliary</w:t>
      </w:r>
      <w:r w:rsidRPr="0033541B">
        <w:rPr>
          <w:b/>
          <w:color w:val="000000" w:themeColor="text1"/>
          <w:sz w:val="24"/>
          <w:szCs w:val="24"/>
        </w:rPr>
        <w:t xml:space="preserve"> (Fund group AE)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Auxiliary Enterprise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AUXENT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Auxiliary Medical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(Various related to practice plans, Clarian, etc.)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Auxiliary Communications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AUXCOM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Auxiliary Service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AUXSER</w:t>
            </w:r>
          </w:p>
        </w:tc>
      </w:tr>
      <w:tr w:rsidR="00F8063F" w:rsidTr="005A4864"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67*, 69*</w:t>
            </w:r>
          </w:p>
        </w:tc>
        <w:tc>
          <w:tcPr>
            <w:tcW w:w="3510" w:type="dxa"/>
          </w:tcPr>
          <w:p w:rsidR="00F8063F" w:rsidRDefault="00F8063F" w:rsidP="005A4864">
            <w:r>
              <w:t>Internal Service Funds</w:t>
            </w:r>
          </w:p>
        </w:tc>
        <w:tc>
          <w:tcPr>
            <w:tcW w:w="2700" w:type="dxa"/>
          </w:tcPr>
          <w:p w:rsidR="00F8063F" w:rsidRDefault="00F8063F" w:rsidP="005A4864">
            <w:r>
              <w:t>AUXSER</w:t>
            </w:r>
          </w:p>
        </w:tc>
      </w:tr>
    </w:tbl>
    <w:p w:rsidR="00F8063F" w:rsidRPr="008C3034" w:rsidRDefault="00F8063F" w:rsidP="00F8063F">
      <w:pPr>
        <w:spacing w:before="120" w:after="0" w:line="240" w:lineRule="auto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24"/>
          <w:szCs w:val="24"/>
        </w:rPr>
        <w:tab/>
      </w:r>
      <w:r w:rsidRPr="008C3034">
        <w:rPr>
          <w:b/>
          <w:color w:val="000000" w:themeColor="text1"/>
          <w:sz w:val="18"/>
          <w:szCs w:val="18"/>
        </w:rPr>
        <w:t>*with approval only</w:t>
      </w:r>
      <w:r w:rsidRPr="008C3034">
        <w:rPr>
          <w:b/>
          <w:color w:val="000000" w:themeColor="text1"/>
          <w:sz w:val="18"/>
          <w:szCs w:val="18"/>
        </w:rPr>
        <w:tab/>
      </w:r>
      <w:r w:rsidRPr="008C3034">
        <w:rPr>
          <w:b/>
          <w:color w:val="000000" w:themeColor="text1"/>
          <w:sz w:val="18"/>
          <w:szCs w:val="18"/>
        </w:rPr>
        <w:tab/>
      </w:r>
    </w:p>
    <w:p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68: </w:t>
      </w:r>
      <w:r w:rsidRPr="007F4F6A">
        <w:rPr>
          <w:b/>
          <w:color w:val="C00000"/>
          <w:sz w:val="24"/>
          <w:szCs w:val="24"/>
        </w:rPr>
        <w:t>Clearing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 xml:space="preserve">(Fund group CL, </w:t>
      </w:r>
      <w:proofErr w:type="spellStart"/>
      <w:r w:rsidRPr="0033541B">
        <w:rPr>
          <w:b/>
          <w:color w:val="000000" w:themeColor="text1"/>
          <w:sz w:val="24"/>
          <w:szCs w:val="24"/>
        </w:rPr>
        <w:t>Subf</w:t>
      </w:r>
      <w:r>
        <w:rPr>
          <w:b/>
          <w:color w:val="000000" w:themeColor="text1"/>
          <w:sz w:val="24"/>
          <w:szCs w:val="24"/>
        </w:rPr>
        <w:t>u</w:t>
      </w:r>
      <w:r w:rsidRPr="0033541B">
        <w:rPr>
          <w:b/>
          <w:color w:val="000000" w:themeColor="text1"/>
          <w:sz w:val="24"/>
          <w:szCs w:val="24"/>
        </w:rPr>
        <w:t>nd</w:t>
      </w:r>
      <w:proofErr w:type="spellEnd"/>
      <w:r w:rsidRPr="0033541B">
        <w:rPr>
          <w:b/>
          <w:color w:val="000000" w:themeColor="text1"/>
          <w:sz w:val="24"/>
          <w:szCs w:val="24"/>
        </w:rPr>
        <w:t xml:space="preserve"> CLEAR)</w:t>
      </w:r>
    </w:p>
    <w:p w:rsidR="007F4F6A" w:rsidRPr="0033541B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70: </w:t>
      </w:r>
      <w:r w:rsidRPr="007F4F6A">
        <w:rPr>
          <w:b/>
          <w:color w:val="C00000"/>
          <w:sz w:val="24"/>
          <w:szCs w:val="24"/>
        </w:rPr>
        <w:t>Loan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Funds (Fund group LF)</w:t>
      </w:r>
    </w:p>
    <w:p w:rsidR="00F8063F" w:rsidRDefault="00F8063F" w:rsidP="00F8063F">
      <w:pPr>
        <w:spacing w:after="0"/>
      </w:pPr>
      <w:proofErr w:type="spellStart"/>
      <w:r>
        <w:t>Subfunds</w:t>
      </w:r>
      <w:proofErr w:type="spellEnd"/>
      <w:r>
        <w:t xml:space="preserve"> are almost all LOANFD. INTLOA for internal loans is also a valid value here.</w:t>
      </w:r>
    </w:p>
    <w:p w:rsidR="007F4F6A" w:rsidRDefault="007F4F6A" w:rsidP="00F8063F">
      <w:pPr>
        <w:spacing w:after="0"/>
      </w:pPr>
    </w:p>
    <w:p w:rsidR="00F8063F" w:rsidRPr="0033541B" w:rsidRDefault="00F8063F" w:rsidP="00F8063F">
      <w:pPr>
        <w:keepNext/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80-85: </w:t>
      </w:r>
      <w:r w:rsidRPr="007F4F6A">
        <w:rPr>
          <w:b/>
          <w:color w:val="C00000"/>
          <w:sz w:val="24"/>
          <w:szCs w:val="24"/>
        </w:rPr>
        <w:t>Endowment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EN)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keepNext/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510" w:type="dxa"/>
          </w:tcPr>
          <w:p w:rsidR="00F8063F" w:rsidRPr="008C2ABF" w:rsidRDefault="00F8063F" w:rsidP="005A4864">
            <w:pPr>
              <w:keepNext/>
            </w:pPr>
            <w:r>
              <w:t>Endowments</w:t>
            </w:r>
          </w:p>
        </w:tc>
        <w:tc>
          <w:tcPr>
            <w:tcW w:w="2700" w:type="dxa"/>
          </w:tcPr>
          <w:p w:rsidR="00F8063F" w:rsidRPr="008C2ABF" w:rsidRDefault="00F8063F" w:rsidP="005A4864">
            <w:pPr>
              <w:keepNext/>
            </w:pPr>
            <w:r>
              <w:t>ENDOW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510" w:type="dxa"/>
          </w:tcPr>
          <w:p w:rsidR="00F8063F" w:rsidRPr="008C2ABF" w:rsidRDefault="00F8063F" w:rsidP="005A4864">
            <w:pPr>
              <w:keepNext/>
            </w:pPr>
            <w:r>
              <w:t>Funds Functioning as Endowments</w:t>
            </w:r>
          </w:p>
        </w:tc>
        <w:tc>
          <w:tcPr>
            <w:tcW w:w="2700" w:type="dxa"/>
          </w:tcPr>
          <w:p w:rsidR="00F8063F" w:rsidRPr="008C2ABF" w:rsidRDefault="00F8063F" w:rsidP="005A4864">
            <w:pPr>
              <w:keepNext/>
            </w:pPr>
            <w:r>
              <w:t>FFEND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keepNext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10" w:type="dxa"/>
          </w:tcPr>
          <w:p w:rsidR="00F8063F" w:rsidRPr="008C2ABF" w:rsidRDefault="00F8063F" w:rsidP="005A4864">
            <w:pPr>
              <w:keepNext/>
            </w:pPr>
            <w:r>
              <w:t>Life Estate Endowments</w:t>
            </w:r>
          </w:p>
        </w:tc>
        <w:tc>
          <w:tcPr>
            <w:tcW w:w="2700" w:type="dxa"/>
          </w:tcPr>
          <w:p w:rsidR="00F8063F" w:rsidRPr="008C2ABF" w:rsidRDefault="00F8063F" w:rsidP="005A4864">
            <w:pPr>
              <w:keepNext/>
            </w:pPr>
            <w:r>
              <w:t>LEEND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83-85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Riley Hospital Endowments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RHINB, RHAFNB, RHMNB</w:t>
            </w:r>
          </w:p>
        </w:tc>
      </w:tr>
    </w:tbl>
    <w:p w:rsidR="007F4F6A" w:rsidRDefault="007F4F6A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90-95: </w:t>
      </w:r>
      <w:r w:rsidRPr="007F4F6A">
        <w:rPr>
          <w:b/>
          <w:color w:val="C00000"/>
          <w:sz w:val="24"/>
          <w:szCs w:val="24"/>
        </w:rPr>
        <w:t>Plant Fund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Accounts (Fund group PF)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Construction and Major Remodeling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PFCMR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Retirement of Indebtedness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PFRI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Renewal and Replacement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PFRR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lastRenderedPageBreak/>
              <w:t>95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Investment in Plant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PFIP</w:t>
            </w:r>
          </w:p>
        </w:tc>
      </w:tr>
    </w:tbl>
    <w:p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96-98: </w:t>
      </w:r>
      <w:r w:rsidRPr="007F4F6A">
        <w:rPr>
          <w:b/>
          <w:color w:val="C00000"/>
          <w:sz w:val="24"/>
          <w:szCs w:val="24"/>
        </w:rPr>
        <w:t xml:space="preserve">Agency Fund </w:t>
      </w:r>
      <w:r w:rsidRPr="0033541B">
        <w:rPr>
          <w:b/>
          <w:color w:val="000000" w:themeColor="text1"/>
          <w:sz w:val="24"/>
          <w:szCs w:val="24"/>
        </w:rPr>
        <w:t>Accounts (Fund group AF)</w:t>
      </w:r>
    </w:p>
    <w:tbl>
      <w:tblPr>
        <w:tblStyle w:val="TableGrid"/>
        <w:tblW w:w="7200" w:type="dxa"/>
        <w:tblInd w:w="720" w:type="dxa"/>
        <w:tblBorders>
          <w:top w:val="none" w:sz="0" w:space="0" w:color="auto"/>
          <w:left w:val="none" w:sz="0" w:space="0" w:color="auto"/>
          <w:bottom w:val="single" w:sz="2" w:space="0" w:color="7F7F7F" w:themeColor="text1" w:themeTint="80"/>
          <w:right w:val="none" w:sz="0" w:space="0" w:color="auto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0"/>
        <w:gridCol w:w="3510"/>
        <w:gridCol w:w="2700"/>
      </w:tblGrid>
      <w:tr w:rsidR="00F8063F" w:rsidTr="007F4F6A">
        <w:trPr>
          <w:cantSplit/>
          <w:trHeight w:val="360"/>
        </w:trPr>
        <w:tc>
          <w:tcPr>
            <w:tcW w:w="99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Number</w:t>
            </w:r>
          </w:p>
        </w:tc>
        <w:tc>
          <w:tcPr>
            <w:tcW w:w="351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2700" w:type="dxa"/>
            <w:shd w:val="clear" w:color="auto" w:fill="767171" w:themeFill="background2" w:themeFillShade="80"/>
            <w:vAlign w:val="center"/>
          </w:tcPr>
          <w:p w:rsidR="00F8063F" w:rsidRPr="00676C15" w:rsidRDefault="00F8063F" w:rsidP="005A4864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Subfund</w:t>
            </w:r>
            <w:proofErr w:type="spellEnd"/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Internal Agency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INTAGY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External Agency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EXTAGY</w:t>
            </w:r>
          </w:p>
        </w:tc>
      </w:tr>
      <w:tr w:rsidR="00F8063F" w:rsidTr="005A4864">
        <w:trPr>
          <w:cantSplit/>
        </w:trPr>
        <w:tc>
          <w:tcPr>
            <w:tcW w:w="990" w:type="dxa"/>
          </w:tcPr>
          <w:p w:rsidR="00F8063F" w:rsidRDefault="00F8063F" w:rsidP="005A4864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510" w:type="dxa"/>
          </w:tcPr>
          <w:p w:rsidR="00F8063F" w:rsidRPr="008C2ABF" w:rsidRDefault="00F8063F" w:rsidP="005A4864">
            <w:r>
              <w:t>Work Study Agency</w:t>
            </w:r>
          </w:p>
        </w:tc>
        <w:tc>
          <w:tcPr>
            <w:tcW w:w="2700" w:type="dxa"/>
          </w:tcPr>
          <w:p w:rsidR="00F8063F" w:rsidRPr="008C2ABF" w:rsidRDefault="00F8063F" w:rsidP="005A4864">
            <w:r>
              <w:t>WSAGY</w:t>
            </w:r>
          </w:p>
        </w:tc>
      </w:tr>
    </w:tbl>
    <w:p w:rsidR="00F8063F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</w:p>
    <w:p w:rsidR="00F8063F" w:rsidRPr="0033541B" w:rsidRDefault="00F8063F" w:rsidP="00F8063F">
      <w:pPr>
        <w:spacing w:before="120" w:after="0" w:line="240" w:lineRule="auto"/>
        <w:rPr>
          <w:b/>
          <w:color w:val="000000" w:themeColor="text1"/>
          <w:sz w:val="24"/>
          <w:szCs w:val="24"/>
        </w:rPr>
      </w:pPr>
      <w:r w:rsidRPr="0033541B">
        <w:rPr>
          <w:b/>
          <w:color w:val="000000" w:themeColor="text1"/>
          <w:sz w:val="24"/>
          <w:szCs w:val="24"/>
        </w:rPr>
        <w:t xml:space="preserve">99: </w:t>
      </w:r>
      <w:r w:rsidRPr="007F4F6A">
        <w:rPr>
          <w:b/>
          <w:color w:val="C00000"/>
          <w:sz w:val="24"/>
          <w:szCs w:val="24"/>
        </w:rPr>
        <w:t>Other Funds</w:t>
      </w:r>
      <w:r w:rsidRPr="0033541B">
        <w:rPr>
          <w:b/>
          <w:color w:val="A5A5A5" w:themeColor="accent3"/>
          <w:sz w:val="24"/>
          <w:szCs w:val="24"/>
        </w:rPr>
        <w:t xml:space="preserve"> </w:t>
      </w:r>
      <w:r w:rsidRPr="0033541B">
        <w:rPr>
          <w:b/>
          <w:color w:val="000000" w:themeColor="text1"/>
          <w:sz w:val="24"/>
          <w:szCs w:val="24"/>
        </w:rPr>
        <w:t>(Fund group OF)</w:t>
      </w:r>
    </w:p>
    <w:p w:rsidR="00F8063F" w:rsidRDefault="00F8063F" w:rsidP="00F8063F">
      <w:pPr>
        <w:spacing w:after="0" w:line="240" w:lineRule="auto"/>
      </w:pPr>
      <w:r>
        <w:t xml:space="preserve">The </w:t>
      </w:r>
      <w:proofErr w:type="spellStart"/>
      <w:r>
        <w:t>subfund</w:t>
      </w:r>
      <w:proofErr w:type="spellEnd"/>
      <w:r>
        <w:t xml:space="preserve"> here is OTHFDS. Treasury uses the two accounts in this </w:t>
      </w:r>
      <w:proofErr w:type="spellStart"/>
      <w:r>
        <w:t>subfund</w:t>
      </w:r>
      <w:proofErr w:type="spellEnd"/>
      <w:r>
        <w:t xml:space="preserve"> to record investments which are then distributed to operating accounts. 99 accounts are not included in the financial statement.</w:t>
      </w:r>
      <w:bookmarkStart w:id="0" w:name="_GoBack"/>
      <w:bookmarkEnd w:id="0"/>
    </w:p>
    <w:p w:rsidR="00F8063F" w:rsidRDefault="00F8063F" w:rsidP="00F8063F">
      <w:pPr>
        <w:spacing w:after="0" w:line="240" w:lineRule="auto"/>
        <w:rPr>
          <w:b/>
        </w:rPr>
      </w:pPr>
    </w:p>
    <w:p w:rsidR="00F8063F" w:rsidRDefault="00F8063F" w:rsidP="00F8063F">
      <w:pPr>
        <w:rPr>
          <w:b/>
        </w:rPr>
      </w:pPr>
    </w:p>
    <w:p w:rsidR="00F8063F" w:rsidRDefault="00F8063F" w:rsidP="00F8063F">
      <w:pPr>
        <w:spacing w:after="0" w:line="240" w:lineRule="auto"/>
        <w:rPr>
          <w:b/>
        </w:rPr>
      </w:pPr>
    </w:p>
    <w:p w:rsidR="00F8063F" w:rsidRDefault="00F8063F" w:rsidP="00F8063F">
      <w:pPr>
        <w:rPr>
          <w:b/>
        </w:rPr>
      </w:pPr>
    </w:p>
    <w:p w:rsidR="00971E50" w:rsidRDefault="00971E50"/>
    <w:sectPr w:rsidR="00971E50" w:rsidSect="00C50533">
      <w:headerReference w:type="default" r:id="rId4"/>
      <w:footerReference w:type="default" r:id="rId5"/>
      <w:pgSz w:w="12240" w:h="15840"/>
      <w:pgMar w:top="1008" w:right="1440" w:bottom="1008" w:left="1440" w:header="576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ntonSans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44546A" w:themeColor="text2"/>
      </w:tblBorders>
      <w:tblLook w:val="04A0" w:firstRow="1" w:lastRow="0" w:firstColumn="1" w:lastColumn="0" w:noHBand="0" w:noVBand="1"/>
    </w:tblPr>
    <w:tblGrid>
      <w:gridCol w:w="9032"/>
      <w:gridCol w:w="328"/>
    </w:tblGrid>
    <w:tr w:rsidR="000354DC" w:rsidTr="008A1251">
      <w:trPr>
        <w:trHeight w:val="360"/>
      </w:trPr>
      <w:tc>
        <w:tcPr>
          <w:tcW w:w="4829" w:type="pct"/>
          <w:vAlign w:val="center"/>
        </w:tcPr>
        <w:p w:rsidR="000354DC" w:rsidRPr="00FF06BC" w:rsidRDefault="007F4F6A" w:rsidP="008F5AEB">
          <w:pPr>
            <w:pStyle w:val="Footer"/>
            <w:jc w:val="right"/>
            <w:rPr>
              <w:rFonts w:ascii="Georgia" w:hAnsi="Georgia"/>
              <w:color w:val="000000" w:themeColor="text1"/>
              <w:sz w:val="18"/>
            </w:rPr>
          </w:pPr>
          <w:r>
            <w:rPr>
              <w:rFonts w:ascii="Georgia" w:hAnsi="Georgia"/>
              <w:color w:val="000000" w:themeColor="text1"/>
              <w:sz w:val="18"/>
            </w:rPr>
            <w:t>2014-2015 |</w:t>
          </w:r>
          <w:r>
            <w:rPr>
              <w:rFonts w:ascii="Georgia" w:hAnsi="Georgia"/>
              <w:color w:val="000000" w:themeColor="text1"/>
              <w:sz w:val="18"/>
            </w:rPr>
            <w:t xml:space="preserve"> Chart of Accounts</w:t>
          </w:r>
        </w:p>
      </w:tc>
      <w:tc>
        <w:tcPr>
          <w:tcW w:w="171" w:type="pct"/>
          <w:shd w:val="clear" w:color="auto" w:fill="44546A" w:themeFill="text2"/>
          <w:vAlign w:val="center"/>
        </w:tcPr>
        <w:p w:rsidR="000354DC" w:rsidRDefault="007F4F6A" w:rsidP="008A1251">
          <w:pPr>
            <w:pStyle w:val="Footer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Pr="007F4F6A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E18BE" w:rsidRDefault="007F4F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2" w:space="0" w:color="44546A" w:themeColor="text2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82"/>
      <w:gridCol w:w="3978"/>
    </w:tblGrid>
    <w:tr w:rsidR="0070663F" w:rsidTr="000C5041">
      <w:trPr>
        <w:trHeight w:val="144"/>
      </w:trPr>
      <w:tc>
        <w:tcPr>
          <w:tcW w:w="2875" w:type="pct"/>
          <w:shd w:val="clear" w:color="auto" w:fill="FFFFFF" w:themeFill="background1"/>
          <w:vAlign w:val="center"/>
        </w:tcPr>
        <w:p w:rsidR="002C26AF" w:rsidRPr="0045663C" w:rsidRDefault="007F4F6A" w:rsidP="0045663C">
          <w:pPr>
            <w:pStyle w:val="Header"/>
            <w:rPr>
              <w:rFonts w:ascii="BentonSans Medium" w:hAnsi="BentonSans Medium"/>
              <w:color w:val="404040" w:themeColor="text1" w:themeTint="BF"/>
              <w:sz w:val="18"/>
            </w:rPr>
          </w:pPr>
          <w:r>
            <w:rPr>
              <w:rFonts w:ascii="BentonSans Medium" w:hAnsi="BentonSans Medium"/>
              <w:color w:val="404040" w:themeColor="text1" w:themeTint="BF"/>
              <w:sz w:val="18"/>
            </w:rPr>
            <w:t xml:space="preserve">                 </w:t>
          </w:r>
          <w:r w:rsidRPr="0045663C">
            <w:rPr>
              <w:rFonts w:ascii="BentonSans Medium" w:hAnsi="BentonSans Medium"/>
              <w:color w:val="404040" w:themeColor="text1" w:themeTint="BF"/>
              <w:sz w:val="18"/>
            </w:rPr>
            <w:t>F</w:t>
          </w:r>
          <w:r>
            <w:rPr>
              <w:rFonts w:ascii="BentonSans Medium" w:hAnsi="BentonSans Medium"/>
              <w:color w:val="404040" w:themeColor="text1" w:themeTint="BF"/>
              <w:sz w:val="18"/>
            </w:rPr>
            <w:t xml:space="preserve">INANCIAL MANAGEMENT </w:t>
          </w:r>
          <w:r>
            <w:rPr>
              <w:rFonts w:ascii="BentonSans Medium" w:hAnsi="BentonSans Medium"/>
              <w:color w:val="404040" w:themeColor="text1" w:themeTint="BF"/>
              <w:sz w:val="18"/>
            </w:rPr>
            <w:t>SERVICES</w:t>
          </w:r>
        </w:p>
      </w:tc>
      <w:tc>
        <w:tcPr>
          <w:tcW w:w="2125" w:type="pct"/>
          <w:vAlign w:val="center"/>
        </w:tcPr>
        <w:p w:rsidR="00136648" w:rsidRPr="00FF06BC" w:rsidRDefault="007F4F6A" w:rsidP="00B75AF5">
          <w:pPr>
            <w:pStyle w:val="Header"/>
            <w:jc w:val="right"/>
            <w:rPr>
              <w:color w:val="000000" w:themeColor="text1"/>
              <w:sz w:val="18"/>
              <w:szCs w:val="18"/>
            </w:rPr>
          </w:pPr>
        </w:p>
      </w:tc>
    </w:tr>
  </w:tbl>
  <w:p w:rsidR="00136648" w:rsidRDefault="007F4F6A">
    <w:pPr>
      <w:pStyle w:val="Header"/>
    </w:pPr>
    <w:r w:rsidRPr="008C2ABF">
      <w:rPr>
        <w:noProof/>
      </w:rPr>
      <w:drawing>
        <wp:anchor distT="0" distB="0" distL="114300" distR="114300" simplePos="0" relativeHeight="251659264" behindDoc="0" locked="0" layoutInCell="1" allowOverlap="1" wp14:anchorId="4A507A72" wp14:editId="0C763CB0">
          <wp:simplePos x="0" y="0"/>
          <wp:positionH relativeFrom="column">
            <wp:posOffset>9525</wp:posOffset>
          </wp:positionH>
          <wp:positionV relativeFrom="page">
            <wp:posOffset>260985</wp:posOffset>
          </wp:positionV>
          <wp:extent cx="379095" cy="445135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_ta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3F"/>
    <w:rsid w:val="007F4F6A"/>
    <w:rsid w:val="00971E50"/>
    <w:rsid w:val="00F8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D42D"/>
  <w15:chartTrackingRefBased/>
  <w15:docId w15:val="{317215E1-8737-43CE-BA9D-DCBB4263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6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63F"/>
  </w:style>
  <w:style w:type="paragraph" w:styleId="Footer">
    <w:name w:val="footer"/>
    <w:basedOn w:val="Normal"/>
    <w:link w:val="FooterChar"/>
    <w:uiPriority w:val="99"/>
    <w:unhideWhenUsed/>
    <w:rsid w:val="00F8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63F"/>
  </w:style>
  <w:style w:type="table" w:styleId="TableGrid">
    <w:name w:val="Table Grid"/>
    <w:basedOn w:val="TableNormal"/>
    <w:uiPriority w:val="59"/>
    <w:rsid w:val="00F8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Andrea Tabler</dc:creator>
  <cp:keywords/>
  <dc:description/>
  <cp:lastModifiedBy>Seifert, Andrea Tabler</cp:lastModifiedBy>
  <cp:revision>2</cp:revision>
  <dcterms:created xsi:type="dcterms:W3CDTF">2020-09-29T19:47:00Z</dcterms:created>
  <dcterms:modified xsi:type="dcterms:W3CDTF">2020-09-29T19:57:00Z</dcterms:modified>
</cp:coreProperties>
</file>